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3DBE0F">
      <w:pPr>
        <w:spacing w:line="500" w:lineRule="exact"/>
        <w:jc w:val="center"/>
        <w:rPr>
          <w:rFonts w:hint="eastAsia" w:ascii="方正小标宋简体" w:hAnsi="宋体" w:eastAsia="方正小标宋简体" w:cs="宋体"/>
          <w:color w:val="000000"/>
          <w:kern w:val="0"/>
          <w:sz w:val="40"/>
          <w:szCs w:val="40"/>
        </w:rPr>
      </w:pPr>
      <w:bookmarkStart w:id="0" w:name="_GoBack"/>
      <w:r>
        <w:rPr>
          <w:rFonts w:hint="eastAsia" w:ascii="方正小标宋简体" w:hAnsi="宋体" w:eastAsia="方正小标宋简体" w:cs="宋体"/>
          <w:color w:val="000000"/>
          <w:kern w:val="0"/>
          <w:sz w:val="40"/>
          <w:szCs w:val="40"/>
        </w:rPr>
        <w:t>山东省机电产品国际招标投标领域行政监督责任清单</w:t>
      </w:r>
    </w:p>
    <w:bookmarkEnd w:id="0"/>
    <w:p w14:paraId="120783CD">
      <w:pPr>
        <w:spacing w:line="500" w:lineRule="exact"/>
        <w:jc w:val="center"/>
        <w:rPr>
          <w:rFonts w:hint="eastAsia"/>
        </w:rPr>
      </w:pPr>
    </w:p>
    <w:tbl>
      <w:tblPr>
        <w:tblStyle w:val="2"/>
        <w:tblW w:w="15405" w:type="dxa"/>
        <w:jc w:val="center"/>
        <w:tblLayout w:type="fixed"/>
        <w:tblCellMar>
          <w:top w:w="0" w:type="dxa"/>
          <w:left w:w="108" w:type="dxa"/>
          <w:bottom w:w="0" w:type="dxa"/>
          <w:right w:w="108" w:type="dxa"/>
        </w:tblCellMar>
      </w:tblPr>
      <w:tblGrid>
        <w:gridCol w:w="559"/>
        <w:gridCol w:w="726"/>
        <w:gridCol w:w="1036"/>
        <w:gridCol w:w="4417"/>
        <w:gridCol w:w="6296"/>
        <w:gridCol w:w="1110"/>
        <w:gridCol w:w="1261"/>
      </w:tblGrid>
      <w:tr w14:paraId="2E340B79">
        <w:tblPrEx>
          <w:tblCellMar>
            <w:top w:w="0" w:type="dxa"/>
            <w:left w:w="108" w:type="dxa"/>
            <w:bottom w:w="0" w:type="dxa"/>
            <w:right w:w="108" w:type="dxa"/>
          </w:tblCellMar>
        </w:tblPrEx>
        <w:trPr>
          <w:trHeight w:val="567" w:hRule="atLeast"/>
          <w:tblHeader/>
          <w:jc w:val="center"/>
        </w:trPr>
        <w:tc>
          <w:tcPr>
            <w:tcW w:w="559" w:type="dxa"/>
            <w:tcBorders>
              <w:top w:val="single" w:color="auto" w:sz="4" w:space="0"/>
              <w:left w:val="single" w:color="auto" w:sz="4" w:space="0"/>
              <w:bottom w:val="single" w:color="auto" w:sz="4" w:space="0"/>
              <w:right w:val="single" w:color="auto" w:sz="4" w:space="0"/>
            </w:tcBorders>
            <w:noWrap/>
            <w:vAlign w:val="center"/>
          </w:tcPr>
          <w:p w14:paraId="3BB05034">
            <w:pPr>
              <w:widowControl/>
              <w:spacing w:line="300" w:lineRule="exact"/>
              <w:ind w:left="-55" w:leftChars="-26" w:right="-90" w:rightChars="-43"/>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序号</w:t>
            </w:r>
          </w:p>
        </w:tc>
        <w:tc>
          <w:tcPr>
            <w:tcW w:w="726" w:type="dxa"/>
            <w:tcBorders>
              <w:top w:val="single" w:color="auto" w:sz="4" w:space="0"/>
              <w:left w:val="nil"/>
              <w:bottom w:val="single" w:color="auto" w:sz="4" w:space="0"/>
              <w:right w:val="single" w:color="auto" w:sz="4" w:space="0"/>
            </w:tcBorders>
            <w:noWrap/>
            <w:vAlign w:val="center"/>
          </w:tcPr>
          <w:p w14:paraId="4ECA6C38">
            <w:pPr>
              <w:widowControl/>
              <w:spacing w:line="300" w:lineRule="exact"/>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监督类型</w:t>
            </w:r>
          </w:p>
        </w:tc>
        <w:tc>
          <w:tcPr>
            <w:tcW w:w="1036" w:type="dxa"/>
            <w:tcBorders>
              <w:top w:val="single" w:color="auto" w:sz="4" w:space="0"/>
              <w:left w:val="nil"/>
              <w:bottom w:val="single" w:color="auto" w:sz="4" w:space="0"/>
              <w:right w:val="single" w:color="auto" w:sz="4" w:space="0"/>
            </w:tcBorders>
            <w:noWrap/>
            <w:vAlign w:val="center"/>
          </w:tcPr>
          <w:p w14:paraId="4D7D364B">
            <w:pPr>
              <w:widowControl/>
              <w:spacing w:line="300" w:lineRule="exact"/>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事项名称</w:t>
            </w:r>
          </w:p>
        </w:tc>
        <w:tc>
          <w:tcPr>
            <w:tcW w:w="4417" w:type="dxa"/>
            <w:tcBorders>
              <w:top w:val="single" w:color="auto" w:sz="4" w:space="0"/>
              <w:left w:val="nil"/>
              <w:bottom w:val="single" w:color="auto" w:sz="4" w:space="0"/>
              <w:right w:val="single" w:color="auto" w:sz="4" w:space="0"/>
            </w:tcBorders>
            <w:noWrap/>
            <w:vAlign w:val="center"/>
          </w:tcPr>
          <w:p w14:paraId="6EA64385">
            <w:pPr>
              <w:widowControl/>
              <w:spacing w:line="300" w:lineRule="exact"/>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监督内容</w:t>
            </w:r>
          </w:p>
        </w:tc>
        <w:tc>
          <w:tcPr>
            <w:tcW w:w="6296" w:type="dxa"/>
            <w:tcBorders>
              <w:top w:val="single" w:color="auto" w:sz="4" w:space="0"/>
              <w:left w:val="nil"/>
              <w:bottom w:val="single" w:color="auto" w:sz="4" w:space="0"/>
              <w:right w:val="single" w:color="auto" w:sz="4" w:space="0"/>
            </w:tcBorders>
            <w:noWrap/>
            <w:vAlign w:val="center"/>
          </w:tcPr>
          <w:p w14:paraId="76C3E857">
            <w:pPr>
              <w:widowControl/>
              <w:spacing w:line="300" w:lineRule="exact"/>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监督依据</w:t>
            </w:r>
          </w:p>
        </w:tc>
        <w:tc>
          <w:tcPr>
            <w:tcW w:w="1110" w:type="dxa"/>
            <w:tcBorders>
              <w:top w:val="single" w:color="auto" w:sz="4" w:space="0"/>
              <w:left w:val="nil"/>
              <w:bottom w:val="single" w:color="auto" w:sz="4" w:space="0"/>
              <w:right w:val="single" w:color="auto" w:sz="4" w:space="0"/>
            </w:tcBorders>
            <w:noWrap/>
            <w:vAlign w:val="center"/>
          </w:tcPr>
          <w:p w14:paraId="3D85A360">
            <w:pPr>
              <w:widowControl/>
              <w:spacing w:line="300" w:lineRule="exact"/>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监督对象</w:t>
            </w:r>
          </w:p>
        </w:tc>
        <w:tc>
          <w:tcPr>
            <w:tcW w:w="1261" w:type="dxa"/>
            <w:tcBorders>
              <w:top w:val="single" w:color="auto" w:sz="4" w:space="0"/>
              <w:left w:val="nil"/>
              <w:bottom w:val="single" w:color="auto" w:sz="4" w:space="0"/>
              <w:right w:val="single" w:color="auto" w:sz="4" w:space="0"/>
            </w:tcBorders>
            <w:noWrap/>
            <w:vAlign w:val="center"/>
          </w:tcPr>
          <w:p w14:paraId="1F8A58FB">
            <w:pPr>
              <w:widowControl/>
              <w:spacing w:line="300" w:lineRule="exact"/>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监督主体</w:t>
            </w:r>
          </w:p>
        </w:tc>
      </w:tr>
      <w:tr w14:paraId="57FCD2C2">
        <w:tblPrEx>
          <w:tblCellMar>
            <w:top w:w="0" w:type="dxa"/>
            <w:left w:w="108" w:type="dxa"/>
            <w:bottom w:w="0" w:type="dxa"/>
            <w:right w:w="108" w:type="dxa"/>
          </w:tblCellMar>
        </w:tblPrEx>
        <w:trPr>
          <w:trHeight w:val="7758" w:hRule="atLeast"/>
          <w:jc w:val="center"/>
        </w:trPr>
        <w:tc>
          <w:tcPr>
            <w:tcW w:w="559" w:type="dxa"/>
            <w:tcBorders>
              <w:top w:val="nil"/>
              <w:left w:val="single" w:color="auto" w:sz="4" w:space="0"/>
              <w:bottom w:val="single" w:color="auto" w:sz="4" w:space="0"/>
              <w:right w:val="single" w:color="auto" w:sz="4" w:space="0"/>
            </w:tcBorders>
            <w:noWrap w:val="0"/>
            <w:vAlign w:val="center"/>
          </w:tcPr>
          <w:p w14:paraId="5D167347">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726" w:type="dxa"/>
            <w:tcBorders>
              <w:top w:val="nil"/>
              <w:left w:val="nil"/>
              <w:bottom w:val="single" w:color="auto" w:sz="4" w:space="0"/>
              <w:right w:val="single" w:color="auto" w:sz="4" w:space="0"/>
            </w:tcBorders>
            <w:noWrap w:val="0"/>
            <w:vAlign w:val="center"/>
          </w:tcPr>
          <w:p w14:paraId="456C1D86">
            <w:pPr>
              <w:widowControl/>
              <w:spacing w:line="30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行政</w:t>
            </w:r>
          </w:p>
          <w:p w14:paraId="013B5F02">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检查</w:t>
            </w:r>
          </w:p>
        </w:tc>
        <w:tc>
          <w:tcPr>
            <w:tcW w:w="1036" w:type="dxa"/>
            <w:tcBorders>
              <w:top w:val="nil"/>
              <w:left w:val="nil"/>
              <w:bottom w:val="single" w:color="auto" w:sz="4" w:space="0"/>
              <w:right w:val="single" w:color="auto" w:sz="4" w:space="0"/>
            </w:tcBorders>
            <w:noWrap w:val="0"/>
            <w:vAlign w:val="center"/>
          </w:tcPr>
          <w:p w14:paraId="60E9A4CC">
            <w:pPr>
              <w:widowControl/>
              <w:spacing w:line="300" w:lineRule="exact"/>
              <w:rPr>
                <w:rFonts w:ascii="宋体" w:hAnsi="宋体" w:eastAsia="宋体" w:cs="宋体"/>
                <w:color w:val="000000"/>
                <w:kern w:val="0"/>
                <w:sz w:val="20"/>
                <w:szCs w:val="20"/>
              </w:rPr>
            </w:pPr>
            <w:r>
              <w:rPr>
                <w:rFonts w:hint="eastAsia" w:ascii="宋体" w:hAnsi="宋体" w:eastAsia="宋体" w:cs="宋体"/>
                <w:color w:val="000000"/>
                <w:kern w:val="0"/>
                <w:sz w:val="20"/>
                <w:szCs w:val="20"/>
              </w:rPr>
              <w:t>对机电产品国际招投标活动和机电产品国际代理机构的检查</w:t>
            </w:r>
          </w:p>
        </w:tc>
        <w:tc>
          <w:tcPr>
            <w:tcW w:w="4417" w:type="dxa"/>
            <w:tcBorders>
              <w:top w:val="nil"/>
              <w:left w:val="nil"/>
              <w:bottom w:val="single" w:color="auto" w:sz="4" w:space="0"/>
              <w:right w:val="single" w:color="auto" w:sz="4" w:space="0"/>
            </w:tcBorders>
            <w:noWrap w:val="0"/>
            <w:vAlign w:val="center"/>
          </w:tcPr>
          <w:p w14:paraId="7BF02589">
            <w:pPr>
              <w:widowControl/>
              <w:spacing w:line="260" w:lineRule="exact"/>
              <w:rPr>
                <w:rFonts w:ascii="宋体" w:hAnsi="宋体" w:eastAsia="宋体" w:cs="宋体"/>
                <w:color w:val="000000"/>
                <w:kern w:val="0"/>
                <w:sz w:val="20"/>
                <w:szCs w:val="20"/>
              </w:rPr>
            </w:pPr>
            <w:r>
              <w:rPr>
                <w:rFonts w:hint="eastAsia" w:ascii="宋体" w:hAnsi="宋体" w:eastAsia="宋体" w:cs="宋体"/>
                <w:color w:val="000000"/>
                <w:kern w:val="0"/>
                <w:sz w:val="20"/>
                <w:szCs w:val="20"/>
              </w:rPr>
              <w:t>（一）与招标人、投标人串通损害国家利益、社会公共利益或者他人合法权益的；（二）在所代理的招标项目中投标、代理投标或者向该项目投标人提供咨询的；（三）参加受托编制标底项目的投标或者为该项目的投标人编制投标文件、提供咨询的；（四）泄露应当保密的与招标投标活动有关的情况和资料的；（五）与招标人、投标人相互串通、搞虚假招标投标的；（六）在进行招标机构注册登记时填写虚假信息或提供虚假证明材料的；（七）无故废弃随机抽取的评审专家的；（八）不按照规定及时向主管部门报送材料或者向主管部门提供虚假材料的；（九）未在规定的时间内将招标投标情况及其相关数据上传招</w:t>
            </w:r>
            <w:r>
              <w:rPr>
                <w:rFonts w:hint="eastAsia" w:ascii="宋体" w:hAnsi="宋体" w:eastAsia="宋体" w:cs="宋体"/>
                <w:color w:val="000000"/>
                <w:spacing w:val="-4"/>
                <w:kern w:val="0"/>
                <w:sz w:val="20"/>
                <w:szCs w:val="20"/>
              </w:rPr>
              <w:t>标网，或者在招标网上发布、公示或存档的内容与招标公告、招标文件、投标文件、评标报告等相应书面内容存在实质性不符的；</w:t>
            </w:r>
            <w:r>
              <w:rPr>
                <w:rFonts w:hint="eastAsia" w:ascii="宋体" w:hAnsi="宋体" w:eastAsia="宋体" w:cs="宋体"/>
                <w:color w:val="000000"/>
                <w:kern w:val="0"/>
                <w:sz w:val="20"/>
                <w:szCs w:val="20"/>
              </w:rPr>
              <w:t>（十）不按照规定对异议作出答复，或者在投诉处理的过程中未按照主管部门要求予以配合的；（十一）因招标机构的过失，投诉处理结果为招标无效或中标无效的；（十二）不</w:t>
            </w:r>
            <w:r>
              <w:rPr>
                <w:rFonts w:hint="eastAsia" w:ascii="宋体" w:hAnsi="宋体" w:eastAsia="宋体" w:cs="宋体"/>
                <w:color w:val="000000"/>
                <w:spacing w:val="-4"/>
                <w:kern w:val="0"/>
                <w:sz w:val="20"/>
                <w:szCs w:val="20"/>
              </w:rPr>
              <w:t>按照规定发出中标通知书或者擅自变更中标结果的；</w:t>
            </w:r>
            <w:r>
              <w:rPr>
                <w:rFonts w:hint="eastAsia" w:ascii="宋体" w:hAnsi="宋体" w:eastAsia="宋体" w:cs="宋体"/>
                <w:color w:val="000000"/>
                <w:kern w:val="0"/>
                <w:sz w:val="20"/>
                <w:szCs w:val="20"/>
              </w:rPr>
              <w:t>（十三）未按照本办法规定及时主动办理注册信息变更的；（十四）招标网注册失效的招标机构，或者被暂停机电产品国际招标代理业务的招标机构，继续开展新的机电产品国际招标代理业务的；（十五）从事机电产品国际招标代理业务未在招标网注册的；（十六）其他违反招标投标法、招标投标法实施条例、机电产品国际招标投标实施办法和《机电产品国际招标代理机构监督管理办法（试行）》的行为。</w:t>
            </w:r>
          </w:p>
        </w:tc>
        <w:tc>
          <w:tcPr>
            <w:tcW w:w="6296" w:type="dxa"/>
            <w:tcBorders>
              <w:top w:val="nil"/>
              <w:left w:val="nil"/>
              <w:bottom w:val="single" w:color="auto" w:sz="4" w:space="0"/>
              <w:right w:val="single" w:color="auto" w:sz="4" w:space="0"/>
            </w:tcBorders>
            <w:noWrap w:val="0"/>
            <w:vAlign w:val="center"/>
          </w:tcPr>
          <w:p w14:paraId="4A7F0B6B">
            <w:pPr>
              <w:widowControl/>
              <w:spacing w:line="30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xml:space="preserve">1.《机电产品国际招标代理机构监督管理办法（试行）》（商务部令2016年第5号）第四条：“各省、自治区、直辖市、计划单列市、新疆生产建设兵团、沿海开放城市及经济特区商务主管部门、国务院有关部门机电产品进出口管理机构负责本地区、本部门所属招标机构的监督管理工作；负责在本地区、本行业从事机电产品国际招标代理行为的监督检查工作。”                                                                                 </w:t>
            </w:r>
          </w:p>
          <w:p w14:paraId="77D5CF38">
            <w:pPr>
              <w:widowControl/>
              <w:spacing w:line="300" w:lineRule="exact"/>
              <w:rPr>
                <w:rFonts w:ascii="宋体" w:hAnsi="宋体" w:eastAsia="宋体" w:cs="宋体"/>
                <w:color w:val="000000"/>
                <w:kern w:val="0"/>
                <w:sz w:val="20"/>
                <w:szCs w:val="20"/>
              </w:rPr>
            </w:pPr>
            <w:r>
              <w:rPr>
                <w:rFonts w:hint="eastAsia" w:ascii="宋体" w:hAnsi="宋体" w:eastAsia="宋体" w:cs="宋体"/>
                <w:color w:val="000000"/>
                <w:kern w:val="0"/>
                <w:sz w:val="20"/>
                <w:szCs w:val="20"/>
              </w:rPr>
              <w:t>2.《机电产品国际招标投标“双随机一公开”监管工作细则》（商办贸函〔2017〕345号）第二条：“各省、自治区、直辖市、计划单列市、新疆生产建设兵团、沿海开放城市及经济特区商务主管部门、国务院有关部门机电产品进出口管理机构负责本地区、本部门所属机电产品国际招标投标活动和招标机构的监督检查工作。”</w:t>
            </w:r>
          </w:p>
        </w:tc>
        <w:tc>
          <w:tcPr>
            <w:tcW w:w="1110" w:type="dxa"/>
            <w:tcBorders>
              <w:top w:val="nil"/>
              <w:left w:val="nil"/>
              <w:bottom w:val="single" w:color="auto" w:sz="4" w:space="0"/>
              <w:right w:val="single" w:color="auto" w:sz="4" w:space="0"/>
            </w:tcBorders>
            <w:noWrap w:val="0"/>
            <w:vAlign w:val="center"/>
          </w:tcPr>
          <w:p w14:paraId="5693F05C">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机电产品国际招标投标代理机构</w:t>
            </w:r>
          </w:p>
        </w:tc>
        <w:tc>
          <w:tcPr>
            <w:tcW w:w="1261" w:type="dxa"/>
            <w:tcBorders>
              <w:top w:val="nil"/>
              <w:left w:val="nil"/>
              <w:bottom w:val="single" w:color="auto" w:sz="4" w:space="0"/>
              <w:right w:val="single" w:color="auto" w:sz="4" w:space="0"/>
            </w:tcBorders>
            <w:noWrap w:val="0"/>
            <w:vAlign w:val="center"/>
          </w:tcPr>
          <w:p w14:paraId="0AF6FFE5">
            <w:pPr>
              <w:widowControl/>
              <w:spacing w:line="300" w:lineRule="exact"/>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省级商务主管部门（含青岛、烟台）</w:t>
            </w:r>
          </w:p>
        </w:tc>
      </w:tr>
      <w:tr w14:paraId="1C39F050">
        <w:tblPrEx>
          <w:tblCellMar>
            <w:top w:w="0" w:type="dxa"/>
            <w:left w:w="108" w:type="dxa"/>
            <w:bottom w:w="0" w:type="dxa"/>
            <w:right w:w="108" w:type="dxa"/>
          </w:tblCellMar>
        </w:tblPrEx>
        <w:trPr>
          <w:trHeight w:val="8794" w:hRule="atLeast"/>
          <w:jc w:val="center"/>
        </w:trPr>
        <w:tc>
          <w:tcPr>
            <w:tcW w:w="559" w:type="dxa"/>
            <w:tcBorders>
              <w:top w:val="nil"/>
              <w:left w:val="single" w:color="auto" w:sz="4" w:space="0"/>
              <w:bottom w:val="single" w:color="auto" w:sz="4" w:space="0"/>
              <w:right w:val="single" w:color="auto" w:sz="4" w:space="0"/>
            </w:tcBorders>
            <w:noWrap w:val="0"/>
            <w:vAlign w:val="center"/>
          </w:tcPr>
          <w:p w14:paraId="0ACFEC79">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726" w:type="dxa"/>
            <w:tcBorders>
              <w:top w:val="nil"/>
              <w:left w:val="nil"/>
              <w:bottom w:val="single" w:color="auto" w:sz="4" w:space="0"/>
              <w:right w:val="single" w:color="auto" w:sz="4" w:space="0"/>
            </w:tcBorders>
            <w:noWrap w:val="0"/>
            <w:vAlign w:val="center"/>
          </w:tcPr>
          <w:p w14:paraId="4C1CA98F">
            <w:pPr>
              <w:widowControl/>
              <w:spacing w:line="30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行政</w:t>
            </w:r>
          </w:p>
          <w:p w14:paraId="384B960F">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处罚</w:t>
            </w:r>
          </w:p>
        </w:tc>
        <w:tc>
          <w:tcPr>
            <w:tcW w:w="1036" w:type="dxa"/>
            <w:tcBorders>
              <w:top w:val="nil"/>
              <w:left w:val="nil"/>
              <w:bottom w:val="single" w:color="auto" w:sz="4" w:space="0"/>
              <w:right w:val="single" w:color="auto" w:sz="4" w:space="0"/>
            </w:tcBorders>
            <w:noWrap w:val="0"/>
            <w:vAlign w:val="center"/>
          </w:tcPr>
          <w:p w14:paraId="777C29DA">
            <w:pPr>
              <w:widowControl/>
              <w:spacing w:line="300" w:lineRule="exact"/>
              <w:rPr>
                <w:rFonts w:ascii="宋体" w:hAnsi="宋体" w:eastAsia="宋体" w:cs="宋体"/>
                <w:color w:val="000000"/>
                <w:kern w:val="0"/>
                <w:sz w:val="20"/>
                <w:szCs w:val="20"/>
              </w:rPr>
            </w:pPr>
            <w:r>
              <w:rPr>
                <w:rFonts w:hint="eastAsia" w:ascii="宋体" w:hAnsi="宋体" w:eastAsia="宋体" w:cs="宋体"/>
                <w:color w:val="000000"/>
                <w:kern w:val="0"/>
                <w:sz w:val="20"/>
                <w:szCs w:val="20"/>
              </w:rPr>
              <w:t>对机电产品国际招投标评标委员会成员有关违规行为的处罚</w:t>
            </w:r>
          </w:p>
        </w:tc>
        <w:tc>
          <w:tcPr>
            <w:tcW w:w="4417" w:type="dxa"/>
            <w:tcBorders>
              <w:top w:val="nil"/>
              <w:left w:val="nil"/>
              <w:bottom w:val="single" w:color="auto" w:sz="4" w:space="0"/>
              <w:right w:val="single" w:color="auto" w:sz="4" w:space="0"/>
            </w:tcBorders>
            <w:noWrap w:val="0"/>
            <w:vAlign w:val="center"/>
          </w:tcPr>
          <w:p w14:paraId="46CC0017">
            <w:pPr>
              <w:widowControl/>
              <w:spacing w:line="300" w:lineRule="exact"/>
              <w:rPr>
                <w:rFonts w:ascii="宋体" w:hAnsi="宋体" w:eastAsia="宋体" w:cs="宋体"/>
                <w:color w:val="000000"/>
                <w:kern w:val="0"/>
                <w:sz w:val="20"/>
                <w:szCs w:val="20"/>
              </w:rPr>
            </w:pPr>
            <w:r>
              <w:rPr>
                <w:rFonts w:hint="eastAsia" w:ascii="宋体" w:hAnsi="宋体" w:eastAsia="宋体" w:cs="宋体"/>
                <w:color w:val="000000"/>
                <w:kern w:val="0"/>
                <w:sz w:val="20"/>
                <w:szCs w:val="20"/>
              </w:rPr>
              <w:t>（一）应当回避而不回避的；（二）擅离职守的；（三）不按照招标文件规定的评标方法和标准评标的；（四）私下接触投标人的； （五）向招标人征询确定中标人的意向或者接受任何单位或者个人明示或者暗示提出的倾向或者排斥特定投标人的要求的；（六）暗示或者诱导投标人作出澄清、说明或者接受投标人主动提出的澄清、说明的；（七）对依法应当否决的投标不提出否决意见的； （八）向他人透露对投标文件的评审和比较、中标候选人的推荐以及与评标有关的其他情况的。”</w:t>
            </w:r>
          </w:p>
        </w:tc>
        <w:tc>
          <w:tcPr>
            <w:tcW w:w="6296" w:type="dxa"/>
            <w:tcBorders>
              <w:top w:val="nil"/>
              <w:left w:val="nil"/>
              <w:bottom w:val="single" w:color="auto" w:sz="4" w:space="0"/>
              <w:right w:val="single" w:color="auto" w:sz="4" w:space="0"/>
            </w:tcBorders>
            <w:noWrap w:val="0"/>
            <w:vAlign w:val="center"/>
          </w:tcPr>
          <w:p w14:paraId="3263A2FB">
            <w:pPr>
              <w:widowControl/>
              <w:spacing w:line="300" w:lineRule="exact"/>
              <w:rPr>
                <w:rFonts w:ascii="宋体" w:hAnsi="宋体" w:eastAsia="宋体" w:cs="宋体"/>
                <w:color w:val="000000"/>
                <w:kern w:val="0"/>
                <w:sz w:val="20"/>
                <w:szCs w:val="20"/>
              </w:rPr>
            </w:pPr>
            <w:r>
              <w:rPr>
                <w:rFonts w:hint="eastAsia" w:ascii="宋体" w:hAnsi="宋体" w:eastAsia="宋体" w:cs="宋体"/>
                <w:color w:val="000000"/>
                <w:kern w:val="0"/>
                <w:sz w:val="20"/>
                <w:szCs w:val="20"/>
              </w:rPr>
              <w:t>《机电产品国际招标投标实施办法（试行）》（商务部令2014年第1号） 第四条：“各省、自治区、直辖市、计划单列市、新疆生产建设兵团、沿海开放城市及经济特区商务主管部门、国务院有关部门机电产品进出口管理机构负责本地区、本部门的机电产品国际招标投标活动的行政监督和协调；负责本地区、本部门所属招标机构的监督和管理；负责本地区、本部门机电产品国际招标评标专家的日常管理。” 第一百零一条：“评标委员会成员有下列行为之一的，依照招标投标法、招标投标法实施条例的有关规定处罚：（一）应当回避而不回避的；（二）擅离职守的；（三）不按照招标文件规定的评标方法和标准评标的；（四）私下接触投标人的； （五）向招标人征询确定中标人的意向或者接受任何单位或者个人明示或者暗示提出的倾向或者排斥特定投标人的要求的；（六）暗示或者诱导投标人作出澄清、说明或者接受投标人主动提出的澄清、说明的； （七）对依法应当否决的投标不提出否决意见的； （八）向他人透露对投标文件的评审和比较、中标候选人的推荐以及与评标有关的其他情况的。”</w:t>
            </w:r>
          </w:p>
        </w:tc>
        <w:tc>
          <w:tcPr>
            <w:tcW w:w="1110" w:type="dxa"/>
            <w:tcBorders>
              <w:top w:val="nil"/>
              <w:left w:val="nil"/>
              <w:bottom w:val="single" w:color="auto" w:sz="4" w:space="0"/>
              <w:right w:val="single" w:color="auto" w:sz="4" w:space="0"/>
            </w:tcBorders>
            <w:noWrap w:val="0"/>
            <w:vAlign w:val="center"/>
          </w:tcPr>
          <w:p w14:paraId="6451EFAD">
            <w:pPr>
              <w:widowControl/>
              <w:spacing w:line="30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机电产品国际招标投标评标委员会</w:t>
            </w:r>
          </w:p>
          <w:p w14:paraId="41F3AA75">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成员</w:t>
            </w:r>
          </w:p>
        </w:tc>
        <w:tc>
          <w:tcPr>
            <w:tcW w:w="1261" w:type="dxa"/>
            <w:tcBorders>
              <w:top w:val="nil"/>
              <w:left w:val="nil"/>
              <w:bottom w:val="single" w:color="auto" w:sz="4" w:space="0"/>
              <w:right w:val="single" w:color="auto" w:sz="4" w:space="0"/>
            </w:tcBorders>
            <w:noWrap w:val="0"/>
            <w:vAlign w:val="center"/>
          </w:tcPr>
          <w:p w14:paraId="5B2B7EBB">
            <w:pPr>
              <w:widowControl/>
              <w:spacing w:line="300" w:lineRule="exact"/>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省级商务主管部门（含青岛、烟台）</w:t>
            </w:r>
          </w:p>
        </w:tc>
      </w:tr>
      <w:tr w14:paraId="7052A30F">
        <w:tblPrEx>
          <w:tblCellMar>
            <w:top w:w="0" w:type="dxa"/>
            <w:left w:w="108" w:type="dxa"/>
            <w:bottom w:w="0" w:type="dxa"/>
            <w:right w:w="108" w:type="dxa"/>
          </w:tblCellMar>
        </w:tblPrEx>
        <w:trPr>
          <w:trHeight w:val="8766" w:hRule="atLeast"/>
          <w:jc w:val="center"/>
        </w:trPr>
        <w:tc>
          <w:tcPr>
            <w:tcW w:w="559" w:type="dxa"/>
            <w:tcBorders>
              <w:top w:val="nil"/>
              <w:left w:val="single" w:color="auto" w:sz="4" w:space="0"/>
              <w:bottom w:val="single" w:color="auto" w:sz="4" w:space="0"/>
              <w:right w:val="single" w:color="auto" w:sz="4" w:space="0"/>
            </w:tcBorders>
            <w:noWrap w:val="0"/>
            <w:vAlign w:val="center"/>
          </w:tcPr>
          <w:p w14:paraId="47FB87C6">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726" w:type="dxa"/>
            <w:tcBorders>
              <w:top w:val="nil"/>
              <w:left w:val="nil"/>
              <w:bottom w:val="single" w:color="auto" w:sz="4" w:space="0"/>
              <w:right w:val="single" w:color="auto" w:sz="4" w:space="0"/>
            </w:tcBorders>
            <w:noWrap w:val="0"/>
            <w:vAlign w:val="center"/>
          </w:tcPr>
          <w:p w14:paraId="27A4FA92">
            <w:pPr>
              <w:widowControl/>
              <w:spacing w:line="30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行政</w:t>
            </w:r>
          </w:p>
          <w:p w14:paraId="378B6D5B">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处罚</w:t>
            </w:r>
          </w:p>
        </w:tc>
        <w:tc>
          <w:tcPr>
            <w:tcW w:w="1036" w:type="dxa"/>
            <w:tcBorders>
              <w:top w:val="nil"/>
              <w:left w:val="nil"/>
              <w:bottom w:val="single" w:color="auto" w:sz="4" w:space="0"/>
              <w:right w:val="single" w:color="auto" w:sz="4" w:space="0"/>
            </w:tcBorders>
            <w:noWrap w:val="0"/>
            <w:vAlign w:val="center"/>
          </w:tcPr>
          <w:p w14:paraId="21D2D7D1">
            <w:pPr>
              <w:widowControl/>
              <w:spacing w:line="300" w:lineRule="exact"/>
              <w:rPr>
                <w:rFonts w:ascii="宋体" w:hAnsi="宋体" w:eastAsia="宋体" w:cs="宋体"/>
                <w:kern w:val="0"/>
                <w:sz w:val="20"/>
                <w:szCs w:val="20"/>
              </w:rPr>
            </w:pPr>
            <w:r>
              <w:rPr>
                <w:rFonts w:hint="eastAsia" w:ascii="宋体" w:hAnsi="宋体" w:eastAsia="宋体" w:cs="宋体"/>
                <w:kern w:val="0"/>
                <w:sz w:val="20"/>
                <w:szCs w:val="20"/>
              </w:rPr>
              <w:t>对机电产品中标人相关违规行为的处罚</w:t>
            </w:r>
          </w:p>
        </w:tc>
        <w:tc>
          <w:tcPr>
            <w:tcW w:w="4417" w:type="dxa"/>
            <w:tcBorders>
              <w:top w:val="nil"/>
              <w:left w:val="nil"/>
              <w:bottom w:val="single" w:color="auto" w:sz="4" w:space="0"/>
              <w:right w:val="single" w:color="auto" w:sz="4" w:space="0"/>
            </w:tcBorders>
            <w:noWrap w:val="0"/>
            <w:vAlign w:val="center"/>
          </w:tcPr>
          <w:p w14:paraId="4DE99107">
            <w:pPr>
              <w:widowControl/>
              <w:spacing w:line="300" w:lineRule="exact"/>
              <w:rPr>
                <w:rFonts w:ascii="宋体" w:hAnsi="宋体" w:eastAsia="宋体" w:cs="宋体"/>
                <w:color w:val="000000"/>
                <w:kern w:val="0"/>
                <w:sz w:val="20"/>
                <w:szCs w:val="20"/>
              </w:rPr>
            </w:pPr>
            <w:r>
              <w:rPr>
                <w:rFonts w:hint="eastAsia" w:ascii="宋体" w:hAnsi="宋体" w:eastAsia="宋体" w:cs="宋体"/>
                <w:color w:val="000000"/>
                <w:kern w:val="0"/>
                <w:sz w:val="20"/>
                <w:szCs w:val="20"/>
              </w:rPr>
              <w:t>（一）无正当理由不与招标人订立合同的，或者在签订合同时向招标人提出附加条件的；（二）不按照招标文件要求提交履约保证金的；（三）不履行与招标人订立的合同的。</w:t>
            </w:r>
          </w:p>
        </w:tc>
        <w:tc>
          <w:tcPr>
            <w:tcW w:w="6296" w:type="dxa"/>
            <w:tcBorders>
              <w:top w:val="nil"/>
              <w:left w:val="nil"/>
              <w:bottom w:val="single" w:color="auto" w:sz="4" w:space="0"/>
              <w:right w:val="single" w:color="auto" w:sz="4" w:space="0"/>
            </w:tcBorders>
            <w:noWrap w:val="0"/>
            <w:vAlign w:val="center"/>
          </w:tcPr>
          <w:p w14:paraId="1C70EA26">
            <w:pPr>
              <w:widowControl/>
              <w:spacing w:line="300" w:lineRule="exact"/>
              <w:rPr>
                <w:rFonts w:ascii="宋体" w:hAnsi="宋体" w:eastAsia="宋体" w:cs="宋体"/>
                <w:kern w:val="0"/>
                <w:sz w:val="20"/>
                <w:szCs w:val="20"/>
              </w:rPr>
            </w:pPr>
            <w:r>
              <w:rPr>
                <w:rFonts w:hint="eastAsia" w:ascii="宋体" w:hAnsi="宋体" w:eastAsia="宋体" w:cs="宋体"/>
                <w:kern w:val="0"/>
                <w:sz w:val="20"/>
                <w:szCs w:val="20"/>
              </w:rPr>
              <w:t>《机电产品国际招标投标实施办法（试行）》（商务部令2014年第1号）第四条：“各省、自治区、直辖市、计划单列市、新疆生产建设兵团、沿海开放城市及经济特区商务主管部门、国务院有关部门机电产品进出口管理机构负责本地区、本部门的机电产品国际招标投标活动的行政监督和协调；负责本地区、本部门所属招标机构的监督和管理；负责本地区、本部门机电产品国际招标评标专家的日常管理。” 第九十八条：“中标人有下列行为之一的，依照招标投标法、招标投标法实施条例的有关规定处罚：（一）无正当理由不与招标人订立合同的，或者在签订合同时向招标人提出附加条件的；（二）不按照招标文件要求提交履约保证金的；（三）不履行与招标人订立的合同的。有前款所列行为的投标人不得参与该项目的重新招标。”　</w:t>
            </w:r>
          </w:p>
        </w:tc>
        <w:tc>
          <w:tcPr>
            <w:tcW w:w="1110" w:type="dxa"/>
            <w:tcBorders>
              <w:top w:val="nil"/>
              <w:left w:val="nil"/>
              <w:bottom w:val="single" w:color="auto" w:sz="4" w:space="0"/>
              <w:right w:val="single" w:color="auto" w:sz="4" w:space="0"/>
            </w:tcBorders>
            <w:noWrap w:val="0"/>
            <w:vAlign w:val="center"/>
          </w:tcPr>
          <w:p w14:paraId="23DCE4AD">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中标人</w:t>
            </w:r>
          </w:p>
        </w:tc>
        <w:tc>
          <w:tcPr>
            <w:tcW w:w="1261" w:type="dxa"/>
            <w:tcBorders>
              <w:top w:val="nil"/>
              <w:left w:val="nil"/>
              <w:bottom w:val="single" w:color="auto" w:sz="4" w:space="0"/>
              <w:right w:val="single" w:color="auto" w:sz="4" w:space="0"/>
            </w:tcBorders>
            <w:noWrap w:val="0"/>
            <w:vAlign w:val="center"/>
          </w:tcPr>
          <w:p w14:paraId="2D50C2B7">
            <w:pPr>
              <w:widowControl/>
              <w:spacing w:line="300" w:lineRule="exact"/>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省级商务主管部门（含青岛、烟台）</w:t>
            </w:r>
          </w:p>
        </w:tc>
      </w:tr>
      <w:tr w14:paraId="44535AFA">
        <w:tblPrEx>
          <w:tblCellMar>
            <w:top w:w="0" w:type="dxa"/>
            <w:left w:w="108" w:type="dxa"/>
            <w:bottom w:w="0" w:type="dxa"/>
            <w:right w:w="108" w:type="dxa"/>
          </w:tblCellMar>
        </w:tblPrEx>
        <w:trPr>
          <w:trHeight w:val="8808" w:hRule="atLeast"/>
          <w:jc w:val="center"/>
        </w:trPr>
        <w:tc>
          <w:tcPr>
            <w:tcW w:w="559" w:type="dxa"/>
            <w:tcBorders>
              <w:top w:val="nil"/>
              <w:left w:val="single" w:color="auto" w:sz="4" w:space="0"/>
              <w:bottom w:val="single" w:color="auto" w:sz="4" w:space="0"/>
              <w:right w:val="single" w:color="auto" w:sz="4" w:space="0"/>
            </w:tcBorders>
            <w:noWrap w:val="0"/>
            <w:vAlign w:val="center"/>
          </w:tcPr>
          <w:p w14:paraId="5A5DF07A">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w:t>
            </w:r>
          </w:p>
        </w:tc>
        <w:tc>
          <w:tcPr>
            <w:tcW w:w="726" w:type="dxa"/>
            <w:tcBorders>
              <w:top w:val="nil"/>
              <w:left w:val="nil"/>
              <w:bottom w:val="single" w:color="auto" w:sz="4" w:space="0"/>
              <w:right w:val="single" w:color="auto" w:sz="4" w:space="0"/>
            </w:tcBorders>
            <w:noWrap w:val="0"/>
            <w:vAlign w:val="center"/>
          </w:tcPr>
          <w:p w14:paraId="13FA3FAA">
            <w:pPr>
              <w:widowControl/>
              <w:spacing w:line="30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行政</w:t>
            </w:r>
          </w:p>
          <w:p w14:paraId="1D0C8151">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处罚</w:t>
            </w:r>
          </w:p>
        </w:tc>
        <w:tc>
          <w:tcPr>
            <w:tcW w:w="1036" w:type="dxa"/>
            <w:tcBorders>
              <w:top w:val="nil"/>
              <w:left w:val="nil"/>
              <w:bottom w:val="single" w:color="auto" w:sz="4" w:space="0"/>
              <w:right w:val="single" w:color="auto" w:sz="4" w:space="0"/>
            </w:tcBorders>
            <w:noWrap w:val="0"/>
            <w:vAlign w:val="center"/>
          </w:tcPr>
          <w:p w14:paraId="6EB97171">
            <w:pPr>
              <w:widowControl/>
              <w:spacing w:line="300" w:lineRule="exact"/>
              <w:rPr>
                <w:rFonts w:ascii="宋体" w:hAnsi="宋体" w:eastAsia="宋体" w:cs="宋体"/>
                <w:kern w:val="0"/>
                <w:sz w:val="20"/>
                <w:szCs w:val="20"/>
              </w:rPr>
            </w:pPr>
            <w:r>
              <w:rPr>
                <w:rFonts w:hint="eastAsia" w:ascii="宋体" w:hAnsi="宋体" w:eastAsia="宋体" w:cs="宋体"/>
                <w:kern w:val="0"/>
                <w:sz w:val="20"/>
                <w:szCs w:val="20"/>
              </w:rPr>
              <w:t>对机电产品招标机构有违招标投标法、招标实施条例规定及有违公平，违规操作相关行为的处罚</w:t>
            </w:r>
          </w:p>
        </w:tc>
        <w:tc>
          <w:tcPr>
            <w:tcW w:w="4417" w:type="dxa"/>
            <w:tcBorders>
              <w:top w:val="nil"/>
              <w:left w:val="nil"/>
              <w:bottom w:val="single" w:color="auto" w:sz="4" w:space="0"/>
              <w:right w:val="single" w:color="auto" w:sz="4" w:space="0"/>
            </w:tcBorders>
            <w:noWrap w:val="0"/>
            <w:vAlign w:val="center"/>
          </w:tcPr>
          <w:p w14:paraId="48CC217E">
            <w:pPr>
              <w:widowControl/>
              <w:spacing w:line="300" w:lineRule="exact"/>
              <w:rPr>
                <w:rFonts w:ascii="宋体" w:hAnsi="宋体" w:eastAsia="宋体" w:cs="宋体"/>
                <w:color w:val="000000"/>
                <w:kern w:val="0"/>
                <w:sz w:val="20"/>
                <w:szCs w:val="20"/>
              </w:rPr>
            </w:pPr>
            <w:r>
              <w:rPr>
                <w:rFonts w:hint="eastAsia" w:ascii="宋体" w:hAnsi="宋体" w:eastAsia="宋体" w:cs="宋体"/>
                <w:color w:val="000000"/>
                <w:kern w:val="0"/>
                <w:sz w:val="20"/>
                <w:szCs w:val="20"/>
              </w:rPr>
              <w:t>（一）与招标人、投标人相互串通、搞虚假招标投标的； （二）在进行机电产品国际招标机构登记时填写虚假信息或提供虚假证明材料的； （三）无故废弃随机抽取的评审专家的； （四）不按照规定及时向主管部门报送材料或者向主管部门提供虚假材料的； （五）未在规定的时间内将招标投标情况及其相关数据上传招标网，或者在招标网上发布、公示或存档的内容与招标公告、招标文件、投标文件、评标报告等相应书面内容存在实质性不符的； （六）不按照本办法规定对异议作出答复的，或者在投诉处理的过程中未按照主管部门要求予以配合的； （七）因招标机构的过失，投诉处理结果为招标无效或中标无效，6个月内累计2次，或一年内累计3次的；（八）不按照本办法规定发出中标通知书或者擅自变更中标结果的； （九）与招标人、投标人串通损害国家利益、社会公共利益或者他人合法权益的； （十）在所代理的招标项目中投标、代理投标或者向该项目投标人提供咨询的； （十一）参加受托编制标底项目的投标或者为该项目的投标人编制投标文件、提供咨询的； （十二）泄漏应当保</w:t>
            </w:r>
            <w:r>
              <w:rPr>
                <w:rFonts w:hint="eastAsia" w:ascii="宋体" w:hAnsi="宋体" w:eastAsia="宋体" w:cs="宋体"/>
                <w:color w:val="000000"/>
                <w:spacing w:val="-4"/>
                <w:kern w:val="0"/>
                <w:sz w:val="20"/>
                <w:szCs w:val="20"/>
              </w:rPr>
              <w:t>密的与招标投标活动有关的情况和资料的。（十三）</w:t>
            </w:r>
            <w:r>
              <w:rPr>
                <w:rFonts w:hint="eastAsia" w:ascii="宋体" w:hAnsi="宋体" w:eastAsia="宋体" w:cs="宋体"/>
                <w:color w:val="000000"/>
                <w:kern w:val="0"/>
                <w:sz w:val="20"/>
                <w:szCs w:val="20"/>
              </w:rPr>
              <w:t>其他违反招标投标法、招标投标法实施条例和《机电产品国际招标投标实施办法（试行）》的行为。</w:t>
            </w:r>
          </w:p>
        </w:tc>
        <w:tc>
          <w:tcPr>
            <w:tcW w:w="6296" w:type="dxa"/>
            <w:tcBorders>
              <w:top w:val="nil"/>
              <w:left w:val="nil"/>
              <w:bottom w:val="single" w:color="auto" w:sz="4" w:space="0"/>
              <w:right w:val="single" w:color="auto" w:sz="4" w:space="0"/>
            </w:tcBorders>
            <w:noWrap w:val="0"/>
            <w:vAlign w:val="center"/>
          </w:tcPr>
          <w:p w14:paraId="0834E395">
            <w:pPr>
              <w:widowControl/>
              <w:spacing w:line="300" w:lineRule="exact"/>
              <w:rPr>
                <w:rFonts w:ascii="宋体" w:hAnsi="宋体" w:eastAsia="宋体" w:cs="宋体"/>
                <w:kern w:val="0"/>
                <w:sz w:val="20"/>
                <w:szCs w:val="20"/>
              </w:rPr>
            </w:pPr>
            <w:r>
              <w:rPr>
                <w:rFonts w:hint="eastAsia" w:ascii="宋体" w:hAnsi="宋体" w:eastAsia="宋体" w:cs="宋体"/>
                <w:kern w:val="0"/>
                <w:sz w:val="20"/>
                <w:szCs w:val="20"/>
              </w:rPr>
              <w:t>《机电产品国际招标投标实施办法（试行）》（商务部令2014年第1号）第四条：“ 各省、自治区、直辖市、计划单列市、新疆生产建设兵团、沿海开放城市及经济特区商务主管部门、国务院有关部门机电产品进出口管理机构负责本地区、本部门的机电产品国际招标投标活动的行政监督和协调；负责本地区、本部门所属招标机构的监督和管理；负责本地区、本部门机电产品国际招标评标专家的日常管理。” 第一百条：“ 招标机构有下列行为之一的，给予警告，并处3万元以下罚款；该行为影响到整个招标公正性的，当次招标无效： （一）与招标人、投标人相互串通、搞虚假招标投标的； （二）在进行机电产品国际招标机构登记时填写虚假信息或提供虚假证明材料的； （三）无故废弃随机抽取的评审专家的； （四）不按照规定及时向主管部门报送材料或者向主管部门提供虚假材料的； （五）未在规定的时间内将招标投标情况及其相关数据上传招标网，或者在招标网上发布、公示或存档的内容与招标公告、招标文件、投标文件、评标报告等相应书面内容存在实质性不符的； （六）不按照本办法规定对异议作出答复的，或者在投诉处理的过程中未按照主管部门要求予以配合的； （七）因招标机构的过失，投诉处理结果为招标无效或中标无效，6个月内累计2次，或一年内累计3次的；（八）不按照本办法规定发出中标通知书或者擅自变更中标结果的； （九）其他违反招标投标法、招标投标法实施条例和本办法的行为。”第九十九条：“招标机构有下列行为之一的，依照招标投标法、招标投标法实施条例的有关规定处罚： （一）与招标人、投标人串通损害国家利益、社会公共利益或者他人合法权益的； （二）在所代理的招标项目中投标、代理投标或者向该项目投标人提供咨询的； （三）参加受托编制标底项目的投标或者为该项目的投标人编制投标文件、提供咨询的； （四）</w:t>
            </w:r>
            <w:r>
              <w:rPr>
                <w:rFonts w:hint="eastAsia" w:ascii="宋体" w:hAnsi="宋体" w:eastAsia="宋体" w:cs="宋体"/>
                <w:spacing w:val="-6"/>
                <w:kern w:val="0"/>
                <w:sz w:val="20"/>
                <w:szCs w:val="20"/>
              </w:rPr>
              <w:t>泄漏应当保密的与招标投标活动有关的情况和资料的。</w:t>
            </w:r>
            <w:r>
              <w:rPr>
                <w:rFonts w:hint="eastAsia" w:ascii="宋体" w:hAnsi="宋体" w:eastAsia="宋体" w:cs="宋体"/>
                <w:kern w:val="0"/>
                <w:sz w:val="20"/>
                <w:szCs w:val="20"/>
              </w:rPr>
              <w:t>”</w:t>
            </w:r>
          </w:p>
        </w:tc>
        <w:tc>
          <w:tcPr>
            <w:tcW w:w="1110" w:type="dxa"/>
            <w:tcBorders>
              <w:top w:val="nil"/>
              <w:left w:val="nil"/>
              <w:bottom w:val="single" w:color="auto" w:sz="4" w:space="0"/>
              <w:right w:val="single" w:color="auto" w:sz="4" w:space="0"/>
            </w:tcBorders>
            <w:noWrap w:val="0"/>
            <w:vAlign w:val="center"/>
          </w:tcPr>
          <w:p w14:paraId="19560A58">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机电产品国际招标投标代理机构</w:t>
            </w:r>
          </w:p>
        </w:tc>
        <w:tc>
          <w:tcPr>
            <w:tcW w:w="1261" w:type="dxa"/>
            <w:tcBorders>
              <w:top w:val="nil"/>
              <w:left w:val="nil"/>
              <w:bottom w:val="single" w:color="auto" w:sz="4" w:space="0"/>
              <w:right w:val="single" w:color="auto" w:sz="4" w:space="0"/>
            </w:tcBorders>
            <w:noWrap w:val="0"/>
            <w:vAlign w:val="center"/>
          </w:tcPr>
          <w:p w14:paraId="3C97A7DC">
            <w:pPr>
              <w:widowControl/>
              <w:spacing w:line="300" w:lineRule="exact"/>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省级商务主管部门（含青岛、烟台）</w:t>
            </w:r>
          </w:p>
        </w:tc>
      </w:tr>
      <w:tr w14:paraId="55AF9CC8">
        <w:tblPrEx>
          <w:tblCellMar>
            <w:top w:w="0" w:type="dxa"/>
            <w:left w:w="108" w:type="dxa"/>
            <w:bottom w:w="0" w:type="dxa"/>
            <w:right w:w="108" w:type="dxa"/>
          </w:tblCellMar>
        </w:tblPrEx>
        <w:trPr>
          <w:trHeight w:val="8888" w:hRule="atLeast"/>
          <w:jc w:val="center"/>
        </w:trPr>
        <w:tc>
          <w:tcPr>
            <w:tcW w:w="559" w:type="dxa"/>
            <w:tcBorders>
              <w:top w:val="nil"/>
              <w:left w:val="single" w:color="auto" w:sz="4" w:space="0"/>
              <w:bottom w:val="single" w:color="auto" w:sz="4" w:space="0"/>
              <w:right w:val="single" w:color="auto" w:sz="4" w:space="0"/>
            </w:tcBorders>
            <w:noWrap w:val="0"/>
            <w:vAlign w:val="center"/>
          </w:tcPr>
          <w:p w14:paraId="5B23F801">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726" w:type="dxa"/>
            <w:tcBorders>
              <w:top w:val="nil"/>
              <w:left w:val="nil"/>
              <w:bottom w:val="single" w:color="auto" w:sz="4" w:space="0"/>
              <w:right w:val="single" w:color="auto" w:sz="4" w:space="0"/>
            </w:tcBorders>
            <w:noWrap w:val="0"/>
            <w:vAlign w:val="center"/>
          </w:tcPr>
          <w:p w14:paraId="7A3AFB25">
            <w:pPr>
              <w:widowControl/>
              <w:spacing w:line="30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行政</w:t>
            </w:r>
          </w:p>
          <w:p w14:paraId="57B5EEBB">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处罚</w:t>
            </w:r>
          </w:p>
        </w:tc>
        <w:tc>
          <w:tcPr>
            <w:tcW w:w="1036" w:type="dxa"/>
            <w:tcBorders>
              <w:top w:val="nil"/>
              <w:left w:val="nil"/>
              <w:bottom w:val="single" w:color="auto" w:sz="4" w:space="0"/>
              <w:right w:val="single" w:color="auto" w:sz="4" w:space="0"/>
            </w:tcBorders>
            <w:noWrap w:val="0"/>
            <w:vAlign w:val="center"/>
          </w:tcPr>
          <w:p w14:paraId="7CC53A4A">
            <w:pPr>
              <w:widowControl/>
              <w:spacing w:line="300" w:lineRule="exact"/>
              <w:rPr>
                <w:rFonts w:ascii="宋体" w:hAnsi="宋体" w:eastAsia="宋体" w:cs="宋体"/>
                <w:kern w:val="0"/>
                <w:sz w:val="20"/>
                <w:szCs w:val="20"/>
              </w:rPr>
            </w:pPr>
            <w:r>
              <w:rPr>
                <w:rFonts w:hint="eastAsia" w:ascii="宋体" w:hAnsi="宋体" w:eastAsia="宋体" w:cs="宋体"/>
                <w:kern w:val="0"/>
                <w:sz w:val="20"/>
                <w:szCs w:val="20"/>
              </w:rPr>
              <w:t>对机电产品投标人在投标过程中违规行为的处罚</w:t>
            </w:r>
          </w:p>
        </w:tc>
        <w:tc>
          <w:tcPr>
            <w:tcW w:w="4417" w:type="dxa"/>
            <w:tcBorders>
              <w:top w:val="nil"/>
              <w:left w:val="nil"/>
              <w:bottom w:val="single" w:color="auto" w:sz="4" w:space="0"/>
              <w:right w:val="single" w:color="auto" w:sz="4" w:space="0"/>
            </w:tcBorders>
            <w:noWrap w:val="0"/>
            <w:vAlign w:val="center"/>
          </w:tcPr>
          <w:p w14:paraId="37424BC6">
            <w:pPr>
              <w:widowControl/>
              <w:spacing w:line="300" w:lineRule="exact"/>
              <w:rPr>
                <w:rFonts w:ascii="宋体" w:hAnsi="宋体" w:eastAsia="宋体" w:cs="宋体"/>
                <w:color w:val="000000"/>
                <w:kern w:val="0"/>
                <w:sz w:val="20"/>
                <w:szCs w:val="20"/>
              </w:rPr>
            </w:pPr>
            <w:r>
              <w:rPr>
                <w:rFonts w:hint="eastAsia" w:ascii="宋体" w:hAnsi="宋体" w:eastAsia="宋体" w:cs="宋体"/>
                <w:color w:val="000000"/>
                <w:kern w:val="0"/>
                <w:sz w:val="20"/>
                <w:szCs w:val="20"/>
              </w:rPr>
              <w:t>（一）虚假招标投标的； （二）以不正当手段干扰招标、评标工作的； （三）投标文件及澄清资料与事实不符，弄虚作假的； （四）在投诉处理过程中，提供虚假证明材料的； （五）中标通知书发出之前与招标人签订合同的； （六）中标的投标人不按照其投标文件和招标文件与招标人签订合同的或提供的产品不符合投标文件的； （七）其他违反招标投标法、招标投标法实施条例和《机电产品国际招标投标实施办法（试行）》的行为。</w:t>
            </w:r>
          </w:p>
        </w:tc>
        <w:tc>
          <w:tcPr>
            <w:tcW w:w="6296" w:type="dxa"/>
            <w:tcBorders>
              <w:top w:val="nil"/>
              <w:left w:val="nil"/>
              <w:bottom w:val="single" w:color="auto" w:sz="4" w:space="0"/>
              <w:right w:val="single" w:color="auto" w:sz="4" w:space="0"/>
            </w:tcBorders>
            <w:noWrap w:val="0"/>
            <w:vAlign w:val="center"/>
          </w:tcPr>
          <w:p w14:paraId="54FC0204">
            <w:pPr>
              <w:widowControl/>
              <w:spacing w:line="300" w:lineRule="exact"/>
              <w:rPr>
                <w:rFonts w:ascii="宋体" w:hAnsi="宋体" w:eastAsia="宋体" w:cs="宋体"/>
                <w:kern w:val="0"/>
                <w:sz w:val="20"/>
                <w:szCs w:val="20"/>
              </w:rPr>
            </w:pPr>
            <w:r>
              <w:rPr>
                <w:rFonts w:hint="eastAsia" w:ascii="宋体" w:hAnsi="宋体" w:eastAsia="宋体" w:cs="宋体"/>
                <w:kern w:val="0"/>
                <w:sz w:val="20"/>
                <w:szCs w:val="20"/>
              </w:rPr>
              <w:t>《机电产品国际招标投标实施办法（试行）》（商务部令2014年第1号）第四条：“各省、自治区、直辖市、计划单列市、新疆生产建设兵团、沿海开放城市及经济特区商务主管部门、国务院有关部门机电产品进出口管理机构负责本地区、本部门的机电产品国际招标投标活动的行政监督和协调；负责本地区、本部门所属招标机构的监督和管理；负责本地区、本部门机电产品国际招标评标专家的日常管理。”第九十七条：“ 投标人有下列行为之一的，当次投标无效，并给予警告，并处3万元以下罚款： （一）虚假招标投标的； （二）以不正当手段干扰招标、评标工作的； （三）投标文件及澄清资料与事实不符，弄虚作假的； （四）在投诉处理过程中，提供虚假证明材料的； （五）中标通知书发出之前与招标人签订合同的； （六）中标的投标人不按照其投标文件和招标文件与招标人签订合同的或提供的产品不符合投标文件的； （七）其他违反招标投标法、招标投标法实施条例和本办法的行为。有前款所列行为的投标人不得参与该项目的重新招标。”</w:t>
            </w:r>
          </w:p>
        </w:tc>
        <w:tc>
          <w:tcPr>
            <w:tcW w:w="1110" w:type="dxa"/>
            <w:tcBorders>
              <w:top w:val="nil"/>
              <w:left w:val="nil"/>
              <w:bottom w:val="single" w:color="auto" w:sz="4" w:space="0"/>
              <w:right w:val="single" w:color="auto" w:sz="4" w:space="0"/>
            </w:tcBorders>
            <w:noWrap w:val="0"/>
            <w:vAlign w:val="center"/>
          </w:tcPr>
          <w:p w14:paraId="23A9FF8A">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投标人</w:t>
            </w:r>
          </w:p>
        </w:tc>
        <w:tc>
          <w:tcPr>
            <w:tcW w:w="1261" w:type="dxa"/>
            <w:tcBorders>
              <w:top w:val="nil"/>
              <w:left w:val="nil"/>
              <w:bottom w:val="single" w:color="auto" w:sz="4" w:space="0"/>
              <w:right w:val="single" w:color="auto" w:sz="4" w:space="0"/>
            </w:tcBorders>
            <w:noWrap w:val="0"/>
            <w:vAlign w:val="center"/>
          </w:tcPr>
          <w:p w14:paraId="25D5177D">
            <w:pPr>
              <w:widowControl/>
              <w:spacing w:line="300" w:lineRule="exact"/>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省级商务主管部门（含青岛、烟台）</w:t>
            </w:r>
          </w:p>
        </w:tc>
      </w:tr>
      <w:tr w14:paraId="72FA4991">
        <w:tblPrEx>
          <w:tblCellMar>
            <w:top w:w="0" w:type="dxa"/>
            <w:left w:w="108" w:type="dxa"/>
            <w:bottom w:w="0" w:type="dxa"/>
            <w:right w:w="108" w:type="dxa"/>
          </w:tblCellMar>
        </w:tblPrEx>
        <w:trPr>
          <w:trHeight w:val="3440" w:hRule="atLeast"/>
          <w:jc w:val="center"/>
        </w:trPr>
        <w:tc>
          <w:tcPr>
            <w:tcW w:w="559" w:type="dxa"/>
            <w:tcBorders>
              <w:top w:val="single" w:color="auto" w:sz="4" w:space="0"/>
              <w:left w:val="single" w:color="auto" w:sz="4" w:space="0"/>
              <w:bottom w:val="single" w:color="auto" w:sz="4" w:space="0"/>
              <w:right w:val="single" w:color="auto" w:sz="4" w:space="0"/>
            </w:tcBorders>
            <w:noWrap w:val="0"/>
            <w:vAlign w:val="center"/>
          </w:tcPr>
          <w:p w14:paraId="6B00A7CB">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w:t>
            </w:r>
          </w:p>
        </w:tc>
        <w:tc>
          <w:tcPr>
            <w:tcW w:w="726" w:type="dxa"/>
            <w:tcBorders>
              <w:top w:val="single" w:color="auto" w:sz="4" w:space="0"/>
              <w:left w:val="nil"/>
              <w:bottom w:val="single" w:color="auto" w:sz="4" w:space="0"/>
              <w:right w:val="single" w:color="auto" w:sz="4" w:space="0"/>
            </w:tcBorders>
            <w:noWrap w:val="0"/>
            <w:vAlign w:val="center"/>
          </w:tcPr>
          <w:p w14:paraId="4ACF3EC1">
            <w:pPr>
              <w:widowControl/>
              <w:spacing w:line="30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行政</w:t>
            </w:r>
          </w:p>
          <w:p w14:paraId="61F13F49">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处罚</w:t>
            </w:r>
          </w:p>
        </w:tc>
        <w:tc>
          <w:tcPr>
            <w:tcW w:w="1036" w:type="dxa"/>
            <w:tcBorders>
              <w:top w:val="single" w:color="auto" w:sz="4" w:space="0"/>
              <w:left w:val="nil"/>
              <w:bottom w:val="single" w:color="auto" w:sz="4" w:space="0"/>
              <w:right w:val="single" w:color="auto" w:sz="4" w:space="0"/>
            </w:tcBorders>
            <w:noWrap w:val="0"/>
            <w:vAlign w:val="center"/>
          </w:tcPr>
          <w:p w14:paraId="369A165B">
            <w:pPr>
              <w:widowControl/>
              <w:spacing w:line="300" w:lineRule="exact"/>
              <w:rPr>
                <w:rFonts w:ascii="宋体" w:hAnsi="宋体" w:eastAsia="宋体" w:cs="宋体"/>
                <w:kern w:val="0"/>
                <w:sz w:val="20"/>
                <w:szCs w:val="20"/>
              </w:rPr>
            </w:pPr>
            <w:r>
              <w:rPr>
                <w:rFonts w:hint="eastAsia" w:ascii="宋体" w:hAnsi="宋体" w:eastAsia="宋体" w:cs="宋体"/>
                <w:kern w:val="0"/>
                <w:sz w:val="20"/>
                <w:szCs w:val="20"/>
              </w:rPr>
              <w:t>对机电产品投标人串通投标等违反招标投标法、招标投标法实施条例行为的处罚</w:t>
            </w:r>
          </w:p>
        </w:tc>
        <w:tc>
          <w:tcPr>
            <w:tcW w:w="4417" w:type="dxa"/>
            <w:tcBorders>
              <w:top w:val="single" w:color="auto" w:sz="4" w:space="0"/>
              <w:left w:val="nil"/>
              <w:bottom w:val="single" w:color="auto" w:sz="4" w:space="0"/>
              <w:right w:val="single" w:color="auto" w:sz="4" w:space="0"/>
            </w:tcBorders>
            <w:noWrap w:val="0"/>
            <w:vAlign w:val="center"/>
          </w:tcPr>
          <w:p w14:paraId="5F60D6FF">
            <w:pPr>
              <w:widowControl/>
              <w:spacing w:line="300" w:lineRule="exact"/>
              <w:rPr>
                <w:rFonts w:ascii="宋体" w:hAnsi="宋体" w:eastAsia="宋体" w:cs="宋体"/>
                <w:color w:val="000000"/>
                <w:kern w:val="0"/>
                <w:sz w:val="20"/>
                <w:szCs w:val="20"/>
              </w:rPr>
            </w:pPr>
            <w:r>
              <w:rPr>
                <w:rFonts w:hint="eastAsia" w:ascii="宋体" w:hAnsi="宋体" w:eastAsia="宋体" w:cs="宋体"/>
                <w:color w:val="000000"/>
                <w:kern w:val="0"/>
                <w:sz w:val="20"/>
                <w:szCs w:val="20"/>
              </w:rPr>
              <w:t>（一）与其他投标人或者与招标人相互串通投标的；（二）以向招标人或者评标委员会成员行贿的手段谋取中标的；（三）以他人名义投标或者以其他方式弄虚作假，骗取中标的；（四）捏造事实、伪造材料或者以非法手段取得证明材料进行投诉的。</w:t>
            </w:r>
          </w:p>
        </w:tc>
        <w:tc>
          <w:tcPr>
            <w:tcW w:w="6296" w:type="dxa"/>
            <w:tcBorders>
              <w:top w:val="single" w:color="auto" w:sz="4" w:space="0"/>
              <w:left w:val="nil"/>
              <w:bottom w:val="single" w:color="auto" w:sz="4" w:space="0"/>
              <w:right w:val="single" w:color="auto" w:sz="4" w:space="0"/>
            </w:tcBorders>
            <w:noWrap w:val="0"/>
            <w:vAlign w:val="center"/>
          </w:tcPr>
          <w:p w14:paraId="5E180492">
            <w:pPr>
              <w:spacing w:line="240" w:lineRule="exact"/>
              <w:rPr>
                <w:rFonts w:hint="eastAsia" w:ascii="宋体" w:hAnsi="宋体" w:eastAsia="宋体" w:cs="宋体"/>
                <w:kern w:val="0"/>
                <w:sz w:val="20"/>
                <w:szCs w:val="20"/>
              </w:rPr>
            </w:pPr>
            <w:r>
              <w:rPr>
                <w:rFonts w:hint="eastAsia" w:ascii="宋体" w:hAnsi="宋体" w:eastAsia="宋体" w:cs="宋体"/>
                <w:bCs/>
                <w:kern w:val="0"/>
                <w:sz w:val="20"/>
                <w:szCs w:val="20"/>
              </w:rPr>
              <w:t>1.</w:t>
            </w:r>
            <w:r>
              <w:rPr>
                <w:rFonts w:hint="eastAsia" w:ascii="宋体" w:hAnsi="宋体" w:eastAsia="宋体" w:cs="宋体"/>
                <w:kern w:val="0"/>
                <w:sz w:val="20"/>
                <w:szCs w:val="20"/>
              </w:rPr>
              <w:t>《招标投标法》（1999年8月30日第九届全国人民代表大会常务委员会第十一次会议通过）第五十三条：“投标人相互串通投标或者与招标人串通投标的，投标人以向招标人或者评标委员会成员行贿的手段谋取中标的，中标无效，处中标项目金额千分之五以上千分之十以下的罚款，对单位直接负责的主管人员和其他直接责任人员处单位罚款数额百分之五以上百分之十以下的罚款；有违法所得的，并处没收违法所得；情节严重的，取消其一年至二年内参加依法必须进行招标的项目的投标资格并予以公告，直至由工商行政管理机关吊销营业执照；构成犯罪的，依法追究刑事责任。给他人造成损失的，依法承担赔偿责任。”</w:t>
            </w:r>
          </w:p>
          <w:p w14:paraId="056A0786">
            <w:pPr>
              <w:spacing w:line="240" w:lineRule="exact"/>
              <w:rPr>
                <w:rFonts w:hint="eastAsia" w:ascii="宋体" w:hAnsi="宋体" w:eastAsia="宋体" w:cs="宋体"/>
                <w:kern w:val="0"/>
                <w:sz w:val="20"/>
                <w:szCs w:val="20"/>
              </w:rPr>
            </w:pPr>
            <w:r>
              <w:rPr>
                <w:rFonts w:hint="eastAsia" w:ascii="宋体" w:hAnsi="宋体" w:eastAsia="宋体" w:cs="宋体"/>
                <w:bCs/>
                <w:kern w:val="0"/>
                <w:sz w:val="20"/>
                <w:szCs w:val="20"/>
              </w:rPr>
              <w:t>2.</w:t>
            </w:r>
            <w:r>
              <w:rPr>
                <w:rFonts w:hint="eastAsia" w:ascii="宋体" w:hAnsi="宋体" w:eastAsia="宋体" w:cs="宋体"/>
                <w:kern w:val="0"/>
                <w:sz w:val="20"/>
                <w:szCs w:val="20"/>
              </w:rPr>
              <w:t xml:space="preserve">《招标投标法实施条例》（国务院令第613号）第六十七条：“投标人相互串通投标或者与招标人串通投标的，投标人向招标人或者评标委员会成员行贿谋取中标的，中标无效；构成犯罪的，依法追究刑事责任；尚不构成犯罪的，依照招标投标法第五十三条的规定处罚。投标人未中标的，对单位的罚款金额按照招标项目合同金额依照招标投标法规定的比例计算。投标人有下列行为之一的，属于招标投标法第五十三条规定的情节严重行为，由有关行政监督部门取消其1年至2年内参加依法必须进行招标的项目的投标资格：（一）以行贿谋取中标；（二）3年内2次以上串通投标；（三）串通投标行为损害招标人、其他投标人或者国家、集体、公民的合法利益，造成直接经济损失30万元以上；（四）其他串通投标情节严重的行为。投标人自本条第二款规定的处罚执行期限届满之日起3年内又有该款所列违法行为之一的，或者串通投标、以行贿谋取中标情节特别严重的，由工商行政管理机关吊销营业执照。法律、行政法规对串通投标报价行为的处罚另有规定的，从其规定。”                                                                                                                       </w:t>
            </w:r>
          </w:p>
          <w:p w14:paraId="183FBF30">
            <w:pPr>
              <w:spacing w:line="240" w:lineRule="exact"/>
              <w:rPr>
                <w:rFonts w:ascii="宋体" w:hAnsi="宋体" w:eastAsia="宋体" w:cs="宋体"/>
                <w:kern w:val="0"/>
                <w:sz w:val="20"/>
                <w:szCs w:val="20"/>
              </w:rPr>
            </w:pPr>
            <w:r>
              <w:rPr>
                <w:rFonts w:hint="eastAsia" w:ascii="宋体" w:hAnsi="宋体" w:eastAsia="宋体" w:cs="宋体"/>
                <w:bCs/>
                <w:kern w:val="0"/>
                <w:sz w:val="20"/>
                <w:szCs w:val="20"/>
              </w:rPr>
              <w:t>3.</w:t>
            </w:r>
            <w:r>
              <w:rPr>
                <w:rFonts w:hint="eastAsia" w:ascii="宋体" w:hAnsi="宋体" w:eastAsia="宋体" w:cs="宋体"/>
                <w:kern w:val="0"/>
                <w:sz w:val="20"/>
                <w:szCs w:val="20"/>
              </w:rPr>
              <w:t>《机电产品国际招标投标实施办法（试行）》（商务部令2014年第1号）第四条：“各省、自治区、直辖市、计划单列市、新疆生产建设兵团、沿海开放城市及经济特区商务主管部门、国务院有关部门机电产品进出口管理机构负责本地区、本部门的机电产品国际招标投标活动的行政监督和协调；负责本地区、本部门所属招标机构的监督和管理；负责本地区、本部门机电产品国际招标评标专家的日常管理。第九十六条：“投标人有下列行为之一的，依照招标投标法、招标投标法实施条例的有关规定处罚：（一）与其他投标人或者与招标人相互串通投标的；（二）以向招标人或者评标委员会成员行贿的手段谋取中标的；（三）以他人名义投标或者以其他方式弄虚作假，骗取中标的；（四）捏造事实、伪造材料或者以非法手段取得证明材料进行投诉的。有前款所列行为的投标人不得参与该项目的重新招标。”</w:t>
            </w:r>
          </w:p>
        </w:tc>
        <w:tc>
          <w:tcPr>
            <w:tcW w:w="1110" w:type="dxa"/>
            <w:tcBorders>
              <w:top w:val="single" w:color="auto" w:sz="4" w:space="0"/>
              <w:left w:val="nil"/>
              <w:bottom w:val="single" w:color="auto" w:sz="4" w:space="0"/>
              <w:right w:val="single" w:color="auto" w:sz="4" w:space="0"/>
            </w:tcBorders>
            <w:noWrap w:val="0"/>
            <w:vAlign w:val="center"/>
          </w:tcPr>
          <w:p w14:paraId="240E2A3C">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投标人</w:t>
            </w:r>
          </w:p>
        </w:tc>
        <w:tc>
          <w:tcPr>
            <w:tcW w:w="1261" w:type="dxa"/>
            <w:tcBorders>
              <w:top w:val="single" w:color="auto" w:sz="4" w:space="0"/>
              <w:left w:val="nil"/>
              <w:bottom w:val="single" w:color="auto" w:sz="4" w:space="0"/>
              <w:right w:val="single" w:color="auto" w:sz="4" w:space="0"/>
            </w:tcBorders>
            <w:noWrap w:val="0"/>
            <w:vAlign w:val="center"/>
          </w:tcPr>
          <w:p w14:paraId="5C9444D0">
            <w:pPr>
              <w:widowControl/>
              <w:spacing w:line="300" w:lineRule="exact"/>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省级商务主管部门（含青岛、烟台）</w:t>
            </w:r>
          </w:p>
        </w:tc>
      </w:tr>
      <w:tr w14:paraId="334422BB">
        <w:tblPrEx>
          <w:tblCellMar>
            <w:top w:w="0" w:type="dxa"/>
            <w:left w:w="108" w:type="dxa"/>
            <w:bottom w:w="0" w:type="dxa"/>
            <w:right w:w="108" w:type="dxa"/>
          </w:tblCellMar>
        </w:tblPrEx>
        <w:trPr>
          <w:trHeight w:val="8732" w:hRule="atLeast"/>
          <w:jc w:val="center"/>
        </w:trPr>
        <w:tc>
          <w:tcPr>
            <w:tcW w:w="559" w:type="dxa"/>
            <w:tcBorders>
              <w:top w:val="nil"/>
              <w:left w:val="single" w:color="auto" w:sz="4" w:space="0"/>
              <w:bottom w:val="single" w:color="auto" w:sz="4" w:space="0"/>
              <w:right w:val="single" w:color="auto" w:sz="4" w:space="0"/>
            </w:tcBorders>
            <w:noWrap w:val="0"/>
            <w:vAlign w:val="center"/>
          </w:tcPr>
          <w:p w14:paraId="3290E15F">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w:t>
            </w:r>
          </w:p>
        </w:tc>
        <w:tc>
          <w:tcPr>
            <w:tcW w:w="726" w:type="dxa"/>
            <w:tcBorders>
              <w:top w:val="nil"/>
              <w:left w:val="nil"/>
              <w:bottom w:val="single" w:color="auto" w:sz="4" w:space="0"/>
              <w:right w:val="single" w:color="auto" w:sz="4" w:space="0"/>
            </w:tcBorders>
            <w:noWrap w:val="0"/>
            <w:vAlign w:val="center"/>
          </w:tcPr>
          <w:p w14:paraId="3CE29607">
            <w:pPr>
              <w:widowControl/>
              <w:spacing w:line="30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行政</w:t>
            </w:r>
          </w:p>
          <w:p w14:paraId="677AAFD3">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处罚</w:t>
            </w:r>
          </w:p>
        </w:tc>
        <w:tc>
          <w:tcPr>
            <w:tcW w:w="1036" w:type="dxa"/>
            <w:tcBorders>
              <w:top w:val="nil"/>
              <w:left w:val="nil"/>
              <w:bottom w:val="single" w:color="auto" w:sz="4" w:space="0"/>
              <w:right w:val="single" w:color="auto" w:sz="4" w:space="0"/>
            </w:tcBorders>
            <w:noWrap w:val="0"/>
            <w:vAlign w:val="center"/>
          </w:tcPr>
          <w:p w14:paraId="3DD8E87C">
            <w:pPr>
              <w:widowControl/>
              <w:spacing w:line="300" w:lineRule="exact"/>
              <w:rPr>
                <w:rFonts w:ascii="宋体" w:hAnsi="宋体" w:eastAsia="宋体" w:cs="宋体"/>
                <w:kern w:val="0"/>
                <w:sz w:val="20"/>
                <w:szCs w:val="20"/>
              </w:rPr>
            </w:pPr>
            <w:r>
              <w:rPr>
                <w:rFonts w:hint="eastAsia" w:ascii="宋体" w:hAnsi="宋体" w:eastAsia="宋体" w:cs="宋体"/>
                <w:kern w:val="0"/>
                <w:sz w:val="20"/>
                <w:szCs w:val="20"/>
              </w:rPr>
              <w:t>对机电产品招标人在招投标之前和之后的过程中违规操作相关行为的处罚</w:t>
            </w:r>
          </w:p>
        </w:tc>
        <w:tc>
          <w:tcPr>
            <w:tcW w:w="4417" w:type="dxa"/>
            <w:tcBorders>
              <w:top w:val="nil"/>
              <w:left w:val="nil"/>
              <w:bottom w:val="single" w:color="auto" w:sz="4" w:space="0"/>
              <w:right w:val="single" w:color="auto" w:sz="4" w:space="0"/>
            </w:tcBorders>
            <w:noWrap w:val="0"/>
            <w:vAlign w:val="center"/>
          </w:tcPr>
          <w:p w14:paraId="29D09507">
            <w:pPr>
              <w:widowControl/>
              <w:spacing w:line="300" w:lineRule="exact"/>
              <w:rPr>
                <w:rFonts w:ascii="宋体" w:hAnsi="宋体" w:eastAsia="宋体" w:cs="宋体"/>
                <w:color w:val="000000"/>
                <w:kern w:val="0"/>
                <w:sz w:val="20"/>
                <w:szCs w:val="20"/>
              </w:rPr>
            </w:pPr>
            <w:r>
              <w:rPr>
                <w:rFonts w:hint="eastAsia" w:ascii="宋体" w:hAnsi="宋体" w:eastAsia="宋体" w:cs="宋体"/>
                <w:color w:val="000000"/>
                <w:kern w:val="0"/>
                <w:sz w:val="20"/>
                <w:szCs w:val="20"/>
              </w:rPr>
              <w:t>（一）与投标人相互串通、虚假招标投标的； （二）以不正当手段干扰招标投标活动的； （三）不履行与中标人订立的合同的； （四）除《机电产品国际招标投标实施办法（试行）》第十二项所列行为外，其他泄漏应当保密的与招标投标活动有关的情况、材料或信息的； （五）对主管部门的投诉处理决定拒不执行的； （六）其他违反招标投标法、招标投标法实施条例和《机电产品国际招标投标实施办法（试行）》的行为。</w:t>
            </w:r>
          </w:p>
        </w:tc>
        <w:tc>
          <w:tcPr>
            <w:tcW w:w="6296" w:type="dxa"/>
            <w:tcBorders>
              <w:top w:val="nil"/>
              <w:left w:val="nil"/>
              <w:bottom w:val="single" w:color="auto" w:sz="4" w:space="0"/>
              <w:right w:val="single" w:color="auto" w:sz="4" w:space="0"/>
            </w:tcBorders>
            <w:noWrap w:val="0"/>
            <w:vAlign w:val="center"/>
          </w:tcPr>
          <w:p w14:paraId="31D8A405">
            <w:pPr>
              <w:widowControl/>
              <w:spacing w:line="300" w:lineRule="exact"/>
              <w:rPr>
                <w:rFonts w:ascii="宋体" w:hAnsi="宋体" w:eastAsia="宋体" w:cs="宋体"/>
                <w:kern w:val="0"/>
                <w:sz w:val="20"/>
                <w:szCs w:val="20"/>
              </w:rPr>
            </w:pPr>
            <w:r>
              <w:rPr>
                <w:rFonts w:hint="eastAsia" w:ascii="宋体" w:hAnsi="宋体" w:eastAsia="宋体" w:cs="宋体"/>
                <w:kern w:val="0"/>
                <w:sz w:val="20"/>
                <w:szCs w:val="20"/>
              </w:rPr>
              <w:t xml:space="preserve">《机电产品国际招标投标实施办法（试行）》（商务部令2014年第1号）第四条：“各省、自治区、直辖市、计划单列市、新疆生产建设兵团、沿海开放城市及经济特区商务主管部门、国务院有关部门机电产品进出口管理机构负责本地区、本部门的机电产品国际招标投标活动的行政监督和协调；负责本地区、本部门所属招标机构的监督和管理；负责本地区、本部门机电产品国际招标评标专家的日常管理。”第九十五条：“招标人有下列行为之一的，给予警告，并处3万元以下罚款；该行为影响到评标结果的公正性的，当次招标无效： （一）与投标人相互串通、虚假招标投标的； （二）以不正当手段干扰招标投标活动的； （三）不履行与中标人订立的合同的； （四）除本办法第九十四条第十二项所列行为外，其他泄漏应当保密的与招标投标活动有关的情况、材料或信息的； （五）对主管部门的投诉处理决定拒不执行的； （六）其他违反招标投标法、招标投标法实施条例和本办法的行为。” </w:t>
            </w:r>
          </w:p>
        </w:tc>
        <w:tc>
          <w:tcPr>
            <w:tcW w:w="1110" w:type="dxa"/>
            <w:tcBorders>
              <w:top w:val="nil"/>
              <w:left w:val="nil"/>
              <w:bottom w:val="single" w:color="auto" w:sz="4" w:space="0"/>
              <w:right w:val="single" w:color="auto" w:sz="4" w:space="0"/>
            </w:tcBorders>
            <w:noWrap w:val="0"/>
            <w:vAlign w:val="center"/>
          </w:tcPr>
          <w:p w14:paraId="1BD05468">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招标人</w:t>
            </w:r>
          </w:p>
        </w:tc>
        <w:tc>
          <w:tcPr>
            <w:tcW w:w="1261" w:type="dxa"/>
            <w:tcBorders>
              <w:top w:val="nil"/>
              <w:left w:val="nil"/>
              <w:bottom w:val="single" w:color="auto" w:sz="4" w:space="0"/>
              <w:right w:val="single" w:color="auto" w:sz="4" w:space="0"/>
            </w:tcBorders>
            <w:noWrap w:val="0"/>
            <w:vAlign w:val="center"/>
          </w:tcPr>
          <w:p w14:paraId="66EE85BC">
            <w:pPr>
              <w:widowControl/>
              <w:spacing w:line="300" w:lineRule="exact"/>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省级商务主管部门（含青岛、烟台）</w:t>
            </w:r>
          </w:p>
        </w:tc>
      </w:tr>
      <w:tr w14:paraId="7A7CA9AF">
        <w:tblPrEx>
          <w:tblCellMar>
            <w:top w:w="0" w:type="dxa"/>
            <w:left w:w="108" w:type="dxa"/>
            <w:bottom w:w="0" w:type="dxa"/>
            <w:right w:w="108" w:type="dxa"/>
          </w:tblCellMar>
        </w:tblPrEx>
        <w:trPr>
          <w:trHeight w:val="8808" w:hRule="atLeast"/>
          <w:jc w:val="center"/>
        </w:trPr>
        <w:tc>
          <w:tcPr>
            <w:tcW w:w="559" w:type="dxa"/>
            <w:tcBorders>
              <w:top w:val="nil"/>
              <w:left w:val="single" w:color="auto" w:sz="4" w:space="0"/>
              <w:bottom w:val="single" w:color="auto" w:sz="4" w:space="0"/>
              <w:right w:val="single" w:color="auto" w:sz="4" w:space="0"/>
            </w:tcBorders>
            <w:noWrap w:val="0"/>
            <w:vAlign w:val="center"/>
          </w:tcPr>
          <w:p w14:paraId="4E1F77FD">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w:t>
            </w:r>
          </w:p>
        </w:tc>
        <w:tc>
          <w:tcPr>
            <w:tcW w:w="726" w:type="dxa"/>
            <w:tcBorders>
              <w:top w:val="nil"/>
              <w:left w:val="nil"/>
              <w:bottom w:val="single" w:color="auto" w:sz="4" w:space="0"/>
              <w:right w:val="single" w:color="auto" w:sz="4" w:space="0"/>
            </w:tcBorders>
            <w:noWrap w:val="0"/>
            <w:vAlign w:val="center"/>
          </w:tcPr>
          <w:p w14:paraId="699BF5DA">
            <w:pPr>
              <w:widowControl/>
              <w:spacing w:line="30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行政</w:t>
            </w:r>
          </w:p>
          <w:p w14:paraId="63AAAE82">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处罚</w:t>
            </w:r>
          </w:p>
        </w:tc>
        <w:tc>
          <w:tcPr>
            <w:tcW w:w="1036" w:type="dxa"/>
            <w:tcBorders>
              <w:top w:val="nil"/>
              <w:left w:val="nil"/>
              <w:bottom w:val="single" w:color="auto" w:sz="4" w:space="0"/>
              <w:right w:val="single" w:color="auto" w:sz="4" w:space="0"/>
            </w:tcBorders>
            <w:noWrap w:val="0"/>
            <w:vAlign w:val="center"/>
          </w:tcPr>
          <w:p w14:paraId="12701BDA">
            <w:pPr>
              <w:widowControl/>
              <w:spacing w:line="300" w:lineRule="exact"/>
              <w:rPr>
                <w:rFonts w:ascii="宋体" w:hAnsi="宋体" w:eastAsia="宋体" w:cs="宋体"/>
                <w:kern w:val="0"/>
                <w:sz w:val="20"/>
                <w:szCs w:val="20"/>
              </w:rPr>
            </w:pPr>
            <w:r>
              <w:rPr>
                <w:rFonts w:hint="eastAsia" w:ascii="宋体" w:hAnsi="宋体" w:eastAsia="宋体" w:cs="宋体"/>
                <w:kern w:val="0"/>
                <w:sz w:val="20"/>
                <w:szCs w:val="20"/>
              </w:rPr>
              <w:t>对机电产品招标人在招投标过程中有违公平，违规操作相关行为的处罚</w:t>
            </w:r>
          </w:p>
        </w:tc>
        <w:tc>
          <w:tcPr>
            <w:tcW w:w="4417" w:type="dxa"/>
            <w:tcBorders>
              <w:top w:val="nil"/>
              <w:left w:val="nil"/>
              <w:bottom w:val="single" w:color="auto" w:sz="4" w:space="0"/>
              <w:right w:val="single" w:color="auto" w:sz="4" w:space="0"/>
            </w:tcBorders>
            <w:noWrap w:val="0"/>
            <w:vAlign w:val="center"/>
          </w:tcPr>
          <w:p w14:paraId="747A4A79">
            <w:pPr>
              <w:widowControl/>
              <w:spacing w:line="300" w:lineRule="exact"/>
              <w:rPr>
                <w:rFonts w:ascii="宋体" w:hAnsi="宋体" w:eastAsia="宋体" w:cs="宋体"/>
                <w:color w:val="000000"/>
                <w:kern w:val="0"/>
                <w:sz w:val="20"/>
                <w:szCs w:val="20"/>
              </w:rPr>
            </w:pPr>
            <w:r>
              <w:rPr>
                <w:rFonts w:hint="eastAsia" w:ascii="宋体" w:hAnsi="宋体" w:eastAsia="宋体" w:cs="宋体"/>
                <w:color w:val="000000"/>
                <w:kern w:val="0"/>
                <w:sz w:val="20"/>
                <w:szCs w:val="20"/>
              </w:rPr>
              <w:t>（一）依法应当公开招标而采用邀请招标的； （二）以不合理的条件限制、排斥潜在投标人的，对潜在投标人实行歧视待遇的，强制要求投标人组成联合体共同投标的，或者限制投标人之间竞争的； （三）招标文件、资格预审文件的发售、澄清、修改的时限，或者确定的提交资格预审申请文件、投标文件的时限不符合规定的； （四）不按照规定组建评标委员会，或者确定、更换评标委员会成员违反规定的； （五）接受未通过资格预审的单位或者个人参加投标，或者接受应当拒收的投标文件的；（六）违反规定，在确定中标人前与投标人就投标价格、投标方案等实质性内容进行谈判的； （七）不按照规定确定中标人的； （八）不按照规定对异议作出答复，继续进行招标投标活动的； （九）无正当理由不发出中标通知书，或者中标通知书发出后无正当理由改变中标结果的； （十）无正当理由不与中标人订立合同，或者在订立合同时向中标人提出附加条件的； （十一）不按照招标文件和中标人的投标文件与中标人订立合同，或者与中标人订立背离合同实质性内容的协议的； （十二）向他人透露已获取招标文件的潜在投标人的名称、数量或者可能影响公平竞争的有关招标投标的其他情况的，或者泄露标底的。</w:t>
            </w:r>
          </w:p>
        </w:tc>
        <w:tc>
          <w:tcPr>
            <w:tcW w:w="6296" w:type="dxa"/>
            <w:tcBorders>
              <w:top w:val="nil"/>
              <w:left w:val="nil"/>
              <w:bottom w:val="single" w:color="auto" w:sz="4" w:space="0"/>
              <w:right w:val="single" w:color="auto" w:sz="4" w:space="0"/>
            </w:tcBorders>
            <w:noWrap w:val="0"/>
            <w:vAlign w:val="center"/>
          </w:tcPr>
          <w:p w14:paraId="772149F3">
            <w:pPr>
              <w:widowControl/>
              <w:spacing w:line="300" w:lineRule="exact"/>
              <w:rPr>
                <w:rFonts w:ascii="宋体" w:hAnsi="宋体" w:eastAsia="宋体" w:cs="宋体"/>
                <w:kern w:val="0"/>
                <w:sz w:val="20"/>
                <w:szCs w:val="20"/>
              </w:rPr>
            </w:pPr>
            <w:r>
              <w:rPr>
                <w:rFonts w:hint="eastAsia" w:ascii="宋体" w:hAnsi="宋体" w:eastAsia="宋体" w:cs="宋体"/>
                <w:kern w:val="0"/>
                <w:sz w:val="20"/>
                <w:szCs w:val="20"/>
              </w:rPr>
              <w:t>《机电产品国际招标投标实施办法（试行）》（商务部令2014年第1号）第四条：“各省、自治区、直辖市、计划单列市、新疆生产建设兵团、沿海开放城市及经济特区商务主管部门、国务院有关部门机电产品进出口管理机构负责本地区、本部门的机电产品国际招标投标活动的行政监督和协调；负责本地区、本部门所属招标机构的监督和管理；负责本地区、本部门机电产品国际招标评标专家的日常管理。” 第九十四条：“ 招标人有下列行为之一的，依照招标投标法、招标投标法实施条例的有关规定处罚： （一）依法应当公开招标而采用邀请招标的； （二）以不合理的条件限制、排斥潜在投标人的，对潜在投标人实行歧视待遇的，强制要求投标人组成联合体共同投标的，或者限制投标人之间竞争的； （三）招标文件、资格预审文件的发售、澄清、修改的时限，或者确定的提交资格预审申请文件、投标文件的时限不符合规定的； （四）不按照规定组建评标委员会，或者确定、更换评标委员会成员违反规定的； （五）接受未通过资格预审的单位或者个人参加投标，或者接受应当拒收的投标文件的；（六）违反规定，在确定中标人前与投标人就投标价格、投标方案等实质性内容进行谈判的； （七）不按照规定确定中标人的； （八）不按照规定对异议作出答复，继续进行招标投标活动的； （九）无正当理由不发出中标通知书，或者中标通知书发出后无正当理由改变中标结果的； （十）无正当理由不与中标人订立合同，或者在订立合同时向中标人提出附加条件的； （十一）不按照招标文件和中标人的投标文件与中标人订立合同，或者与中标人订立背离合同实质性内容的协议的； （十二）向他人透露已获取招标文件的潜在投标人的名称、数量或者可能影响公平竞争的有关招标投标的其他情况的，或者泄露标底的。”</w:t>
            </w:r>
          </w:p>
        </w:tc>
        <w:tc>
          <w:tcPr>
            <w:tcW w:w="1110" w:type="dxa"/>
            <w:tcBorders>
              <w:top w:val="nil"/>
              <w:left w:val="nil"/>
              <w:bottom w:val="single" w:color="auto" w:sz="4" w:space="0"/>
              <w:right w:val="single" w:color="auto" w:sz="4" w:space="0"/>
            </w:tcBorders>
            <w:noWrap w:val="0"/>
            <w:vAlign w:val="center"/>
          </w:tcPr>
          <w:p w14:paraId="670E3E71">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招标人</w:t>
            </w:r>
          </w:p>
        </w:tc>
        <w:tc>
          <w:tcPr>
            <w:tcW w:w="1261" w:type="dxa"/>
            <w:tcBorders>
              <w:top w:val="nil"/>
              <w:left w:val="nil"/>
              <w:bottom w:val="single" w:color="auto" w:sz="4" w:space="0"/>
              <w:right w:val="single" w:color="auto" w:sz="4" w:space="0"/>
            </w:tcBorders>
            <w:noWrap w:val="0"/>
            <w:vAlign w:val="center"/>
          </w:tcPr>
          <w:p w14:paraId="62F757AD">
            <w:pPr>
              <w:widowControl/>
              <w:spacing w:line="300" w:lineRule="exact"/>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省级商务主管部门（含青岛、烟台）</w:t>
            </w:r>
          </w:p>
        </w:tc>
      </w:tr>
      <w:tr w14:paraId="1D891DBC">
        <w:tblPrEx>
          <w:tblCellMar>
            <w:top w:w="0" w:type="dxa"/>
            <w:left w:w="108" w:type="dxa"/>
            <w:bottom w:w="0" w:type="dxa"/>
            <w:right w:w="108" w:type="dxa"/>
          </w:tblCellMar>
        </w:tblPrEx>
        <w:trPr>
          <w:trHeight w:val="4014" w:hRule="atLeast"/>
          <w:jc w:val="center"/>
        </w:trPr>
        <w:tc>
          <w:tcPr>
            <w:tcW w:w="559" w:type="dxa"/>
            <w:tcBorders>
              <w:top w:val="nil"/>
              <w:left w:val="single" w:color="auto" w:sz="4" w:space="0"/>
              <w:bottom w:val="single" w:color="auto" w:sz="4" w:space="0"/>
              <w:right w:val="single" w:color="auto" w:sz="4" w:space="0"/>
            </w:tcBorders>
            <w:noWrap w:val="0"/>
            <w:vAlign w:val="center"/>
          </w:tcPr>
          <w:p w14:paraId="7BCF6592">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9</w:t>
            </w:r>
          </w:p>
        </w:tc>
        <w:tc>
          <w:tcPr>
            <w:tcW w:w="726" w:type="dxa"/>
            <w:tcBorders>
              <w:top w:val="nil"/>
              <w:left w:val="nil"/>
              <w:bottom w:val="single" w:color="auto" w:sz="4" w:space="0"/>
              <w:right w:val="single" w:color="auto" w:sz="4" w:space="0"/>
            </w:tcBorders>
            <w:noWrap w:val="0"/>
            <w:vAlign w:val="center"/>
          </w:tcPr>
          <w:p w14:paraId="3EFB9AAE">
            <w:pPr>
              <w:widowControl/>
              <w:spacing w:line="30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行政</w:t>
            </w:r>
          </w:p>
          <w:p w14:paraId="4A4E03DA">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处罚</w:t>
            </w:r>
          </w:p>
        </w:tc>
        <w:tc>
          <w:tcPr>
            <w:tcW w:w="1036" w:type="dxa"/>
            <w:tcBorders>
              <w:top w:val="nil"/>
              <w:left w:val="nil"/>
              <w:bottom w:val="single" w:color="auto" w:sz="4" w:space="0"/>
              <w:right w:val="single" w:color="auto" w:sz="4" w:space="0"/>
            </w:tcBorders>
            <w:noWrap w:val="0"/>
            <w:vAlign w:val="center"/>
          </w:tcPr>
          <w:p w14:paraId="5423653C">
            <w:pPr>
              <w:widowControl/>
              <w:spacing w:line="300" w:lineRule="exact"/>
              <w:rPr>
                <w:rFonts w:ascii="宋体" w:hAnsi="宋体" w:eastAsia="宋体" w:cs="宋体"/>
                <w:kern w:val="0"/>
                <w:sz w:val="20"/>
                <w:szCs w:val="20"/>
              </w:rPr>
            </w:pPr>
            <w:r>
              <w:rPr>
                <w:rFonts w:hint="eastAsia" w:ascii="宋体" w:hAnsi="宋体" w:eastAsia="宋体" w:cs="宋体"/>
                <w:kern w:val="0"/>
                <w:sz w:val="20"/>
                <w:szCs w:val="20"/>
              </w:rPr>
              <w:t>对机电产品招标人违规逃避国际招标行为的处罚</w:t>
            </w:r>
          </w:p>
        </w:tc>
        <w:tc>
          <w:tcPr>
            <w:tcW w:w="4417" w:type="dxa"/>
            <w:tcBorders>
              <w:top w:val="nil"/>
              <w:left w:val="nil"/>
              <w:bottom w:val="single" w:color="auto" w:sz="4" w:space="0"/>
              <w:right w:val="single" w:color="auto" w:sz="4" w:space="0"/>
            </w:tcBorders>
            <w:noWrap w:val="0"/>
            <w:vAlign w:val="center"/>
          </w:tcPr>
          <w:p w14:paraId="758E9F41">
            <w:pPr>
              <w:widowControl/>
              <w:spacing w:line="300" w:lineRule="exact"/>
              <w:rPr>
                <w:rFonts w:ascii="宋体" w:hAnsi="宋体" w:eastAsia="宋体" w:cs="宋体"/>
                <w:color w:val="000000"/>
                <w:kern w:val="0"/>
                <w:sz w:val="20"/>
                <w:szCs w:val="20"/>
              </w:rPr>
            </w:pPr>
            <w:r>
              <w:rPr>
                <w:rFonts w:hint="eastAsia" w:ascii="宋体" w:hAnsi="宋体" w:eastAsia="宋体" w:cs="宋体"/>
                <w:color w:val="000000"/>
                <w:kern w:val="0"/>
                <w:sz w:val="20"/>
                <w:szCs w:val="20"/>
              </w:rPr>
              <w:t>招标人对依法必须进行招标的项目不招标或化整为零以及以其他任何方式规避国际招标</w:t>
            </w:r>
          </w:p>
        </w:tc>
        <w:tc>
          <w:tcPr>
            <w:tcW w:w="6296" w:type="dxa"/>
            <w:tcBorders>
              <w:top w:val="nil"/>
              <w:left w:val="nil"/>
              <w:bottom w:val="single" w:color="auto" w:sz="4" w:space="0"/>
              <w:right w:val="single" w:color="auto" w:sz="4" w:space="0"/>
            </w:tcBorders>
            <w:noWrap w:val="0"/>
            <w:vAlign w:val="center"/>
          </w:tcPr>
          <w:p w14:paraId="3FD44121">
            <w:pPr>
              <w:widowControl/>
              <w:spacing w:line="300" w:lineRule="exact"/>
              <w:rPr>
                <w:rFonts w:ascii="宋体" w:hAnsi="宋体" w:eastAsia="宋体" w:cs="宋体"/>
                <w:kern w:val="0"/>
                <w:sz w:val="20"/>
                <w:szCs w:val="20"/>
              </w:rPr>
            </w:pPr>
            <w:r>
              <w:rPr>
                <w:rFonts w:hint="eastAsia" w:ascii="宋体" w:hAnsi="宋体" w:eastAsia="宋体" w:cs="宋体"/>
                <w:kern w:val="0"/>
                <w:sz w:val="20"/>
                <w:szCs w:val="20"/>
              </w:rPr>
              <w:t>《机电产品国际招标投标实施办法（试行）》（商务部令2014年第1号）第四条：“各省、自治区、直辖市、计划单列市、新疆生产建设兵团、沿海开放城市及经济特区商务主管部门、国务院有关部门机电产品进出口管理机构负责本地区、本部门的机电产品国际招标投标活动的行政监督和协调；负责本地区、本部门所属招标机构的监督和管理；负责本地区、本部门机电产品国际招标评标专家的日常管理。” 第九十三条：“招标人对依法必须进行招标的项目不招标或化整为零以及以其他任何方式规避国际招标的，由相应主管部门责令限期改正，可以处项目合同金额0.5%以上1%以下的罚款；对全部或者部分使用国有资金的项目，可以通告项目主管机构暂停项目执行或者暂停资金拨付；对单位直接负责的主管人员和其他直接责任人员依法给予处分。”</w:t>
            </w:r>
          </w:p>
        </w:tc>
        <w:tc>
          <w:tcPr>
            <w:tcW w:w="1110" w:type="dxa"/>
            <w:tcBorders>
              <w:top w:val="nil"/>
              <w:left w:val="nil"/>
              <w:bottom w:val="single" w:color="auto" w:sz="4" w:space="0"/>
              <w:right w:val="single" w:color="auto" w:sz="4" w:space="0"/>
            </w:tcBorders>
            <w:noWrap w:val="0"/>
            <w:vAlign w:val="center"/>
          </w:tcPr>
          <w:p w14:paraId="5550F395">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招标人</w:t>
            </w:r>
          </w:p>
        </w:tc>
        <w:tc>
          <w:tcPr>
            <w:tcW w:w="1261" w:type="dxa"/>
            <w:tcBorders>
              <w:top w:val="nil"/>
              <w:left w:val="nil"/>
              <w:bottom w:val="single" w:color="auto" w:sz="4" w:space="0"/>
              <w:right w:val="single" w:color="auto" w:sz="4" w:space="0"/>
            </w:tcBorders>
            <w:noWrap w:val="0"/>
            <w:vAlign w:val="center"/>
          </w:tcPr>
          <w:p w14:paraId="3F414865">
            <w:pPr>
              <w:widowControl/>
              <w:spacing w:line="300" w:lineRule="exact"/>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省级商务主管部门（含青岛、烟台）</w:t>
            </w:r>
          </w:p>
        </w:tc>
      </w:tr>
      <w:tr w14:paraId="4A5DC97B">
        <w:tblPrEx>
          <w:tblCellMar>
            <w:top w:w="0" w:type="dxa"/>
            <w:left w:w="108" w:type="dxa"/>
            <w:bottom w:w="0" w:type="dxa"/>
            <w:right w:w="108" w:type="dxa"/>
          </w:tblCellMar>
        </w:tblPrEx>
        <w:trPr>
          <w:trHeight w:val="3566" w:hRule="atLeast"/>
          <w:jc w:val="center"/>
        </w:trPr>
        <w:tc>
          <w:tcPr>
            <w:tcW w:w="559" w:type="dxa"/>
            <w:tcBorders>
              <w:top w:val="nil"/>
              <w:left w:val="single" w:color="auto" w:sz="4" w:space="0"/>
              <w:bottom w:val="single" w:color="auto" w:sz="4" w:space="0"/>
              <w:right w:val="single" w:color="auto" w:sz="4" w:space="0"/>
            </w:tcBorders>
            <w:noWrap w:val="0"/>
            <w:vAlign w:val="center"/>
          </w:tcPr>
          <w:p w14:paraId="12FDB176">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w:t>
            </w:r>
          </w:p>
        </w:tc>
        <w:tc>
          <w:tcPr>
            <w:tcW w:w="726" w:type="dxa"/>
            <w:tcBorders>
              <w:top w:val="nil"/>
              <w:left w:val="nil"/>
              <w:bottom w:val="single" w:color="auto" w:sz="4" w:space="0"/>
              <w:right w:val="single" w:color="auto" w:sz="4" w:space="0"/>
            </w:tcBorders>
            <w:noWrap w:val="0"/>
            <w:vAlign w:val="center"/>
          </w:tcPr>
          <w:p w14:paraId="4AD889E2">
            <w:pPr>
              <w:widowControl/>
              <w:spacing w:line="30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行政</w:t>
            </w:r>
          </w:p>
          <w:p w14:paraId="53032917">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处罚</w:t>
            </w:r>
          </w:p>
        </w:tc>
        <w:tc>
          <w:tcPr>
            <w:tcW w:w="1036" w:type="dxa"/>
            <w:tcBorders>
              <w:top w:val="nil"/>
              <w:left w:val="nil"/>
              <w:bottom w:val="single" w:color="auto" w:sz="4" w:space="0"/>
              <w:right w:val="single" w:color="auto" w:sz="4" w:space="0"/>
            </w:tcBorders>
            <w:noWrap w:val="0"/>
            <w:vAlign w:val="center"/>
          </w:tcPr>
          <w:p w14:paraId="7FAB2E98">
            <w:pPr>
              <w:widowControl/>
              <w:spacing w:line="300" w:lineRule="exact"/>
              <w:rPr>
                <w:rFonts w:ascii="宋体" w:hAnsi="宋体" w:eastAsia="宋体" w:cs="宋体"/>
                <w:kern w:val="0"/>
                <w:sz w:val="20"/>
                <w:szCs w:val="20"/>
              </w:rPr>
            </w:pPr>
            <w:r>
              <w:rPr>
                <w:rFonts w:hint="eastAsia" w:ascii="宋体" w:hAnsi="宋体" w:eastAsia="宋体" w:cs="宋体"/>
                <w:kern w:val="0"/>
                <w:sz w:val="20"/>
                <w:szCs w:val="20"/>
              </w:rPr>
              <w:t>对机电产品国际招投标过程中，出让或者出租资格、资质证书供他人投标行为的处罚</w:t>
            </w:r>
          </w:p>
        </w:tc>
        <w:tc>
          <w:tcPr>
            <w:tcW w:w="4417" w:type="dxa"/>
            <w:tcBorders>
              <w:top w:val="nil"/>
              <w:left w:val="nil"/>
              <w:bottom w:val="single" w:color="auto" w:sz="4" w:space="0"/>
              <w:right w:val="single" w:color="auto" w:sz="4" w:space="0"/>
            </w:tcBorders>
            <w:noWrap w:val="0"/>
            <w:vAlign w:val="center"/>
          </w:tcPr>
          <w:p w14:paraId="392EA4F7">
            <w:pPr>
              <w:widowControl/>
              <w:spacing w:line="300" w:lineRule="exact"/>
              <w:rPr>
                <w:rFonts w:ascii="宋体" w:hAnsi="宋体" w:eastAsia="宋体" w:cs="宋体"/>
                <w:color w:val="000000"/>
                <w:kern w:val="0"/>
                <w:sz w:val="20"/>
                <w:szCs w:val="20"/>
              </w:rPr>
            </w:pPr>
            <w:r>
              <w:rPr>
                <w:rFonts w:hint="eastAsia" w:ascii="宋体" w:hAnsi="宋体" w:eastAsia="宋体" w:cs="宋体"/>
                <w:color w:val="000000"/>
                <w:kern w:val="0"/>
                <w:sz w:val="20"/>
                <w:szCs w:val="20"/>
              </w:rPr>
              <w:t>出让或者出租资格、资质证书供他人投标的行为</w:t>
            </w:r>
          </w:p>
        </w:tc>
        <w:tc>
          <w:tcPr>
            <w:tcW w:w="6296" w:type="dxa"/>
            <w:tcBorders>
              <w:top w:val="nil"/>
              <w:left w:val="nil"/>
              <w:bottom w:val="single" w:color="auto" w:sz="4" w:space="0"/>
              <w:right w:val="single" w:color="auto" w:sz="4" w:space="0"/>
            </w:tcBorders>
            <w:noWrap w:val="0"/>
            <w:vAlign w:val="center"/>
          </w:tcPr>
          <w:p w14:paraId="4A364728">
            <w:pPr>
              <w:widowControl/>
              <w:spacing w:line="300" w:lineRule="exact"/>
              <w:rPr>
                <w:rFonts w:ascii="宋体" w:hAnsi="宋体" w:eastAsia="宋体" w:cs="宋体"/>
                <w:kern w:val="0"/>
                <w:sz w:val="20"/>
                <w:szCs w:val="20"/>
              </w:rPr>
            </w:pPr>
            <w:r>
              <w:rPr>
                <w:rFonts w:hint="eastAsia" w:ascii="宋体" w:hAnsi="宋体" w:eastAsia="宋体" w:cs="宋体"/>
                <w:kern w:val="0"/>
                <w:sz w:val="20"/>
                <w:szCs w:val="20"/>
              </w:rPr>
              <w:t>《机电产品国际招标投标实施办法（试行）》（商务部令2014年第1号）第四条：“各省、自治区、直辖市、计划单列市、新疆生产建设兵团、沿海开放城市及经济特区商务主管部门、国务院有关部门机电产品进出口管理机构负责本地区、本部门的机电产品国际招标投标活动的行政监督和协调；负责本地区、本部门所属招标机构的监督和管理；负责本地区、本部门机电产品国际招标评标专家的日常管理。第一百零七条：“出让或者出租资格、资质证书供他人投标的，依照法律、行政法规的规定给予行政处罚；构成犯罪的，依法追究刑事责任。”</w:t>
            </w:r>
          </w:p>
        </w:tc>
        <w:tc>
          <w:tcPr>
            <w:tcW w:w="1110" w:type="dxa"/>
            <w:tcBorders>
              <w:top w:val="nil"/>
              <w:left w:val="nil"/>
              <w:bottom w:val="single" w:color="auto" w:sz="4" w:space="0"/>
              <w:right w:val="single" w:color="auto" w:sz="4" w:space="0"/>
            </w:tcBorders>
            <w:noWrap w:val="0"/>
            <w:vAlign w:val="center"/>
          </w:tcPr>
          <w:p w14:paraId="6D311631">
            <w:pPr>
              <w:widowControl/>
              <w:spacing w:line="30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w:t>
            </w:r>
          </w:p>
        </w:tc>
        <w:tc>
          <w:tcPr>
            <w:tcW w:w="1261" w:type="dxa"/>
            <w:tcBorders>
              <w:top w:val="nil"/>
              <w:left w:val="nil"/>
              <w:bottom w:val="single" w:color="auto" w:sz="4" w:space="0"/>
              <w:right w:val="single" w:color="auto" w:sz="4" w:space="0"/>
            </w:tcBorders>
            <w:noWrap w:val="0"/>
            <w:vAlign w:val="center"/>
          </w:tcPr>
          <w:p w14:paraId="6927E4E2">
            <w:pPr>
              <w:widowControl/>
              <w:spacing w:line="300" w:lineRule="exact"/>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省级商务主管部门（含青岛、烟台）</w:t>
            </w:r>
          </w:p>
        </w:tc>
      </w:tr>
    </w:tbl>
    <w:p w14:paraId="0928603E"/>
    <w:sectPr>
      <w:pgSz w:w="16838" w:h="11906" w:orient="landscape"/>
      <w:pgMar w:top="726" w:right="1440" w:bottom="1009"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C848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2025-12-11T06:37:40Z</dcterms:created>
  <dc:creator>Administrator</dc:creator>
  <cp:lastModifiedBy>刘军利</cp:lastModifiedBy>
  <dcterms:modified xsi:type="dcterms:W3CDTF">2025-12-11T06:38:21Z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eyJoZGlkIjoiMjk4MWQ5MmQ3NmU0MGM5MWUzOWQ0ODQxMGJmZWM3MDEiLCJ1c2VySWQiOiIxNjc1NzQwNjAyIn0=</vt:lpwstr>
  </property>
  <property fmtid="{D5CDD505-2E9C-101B-9397-08002B2CF9AE}" pid="4" name="ICV">
    <vt:lpwstr>48EB14601FAE4E1A82FDF521AC2D8954_12</vt:lpwstr>
  </property>
</Properties>
</file>