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15E" w:rsidRPr="00F141E6" w:rsidRDefault="005875F0">
      <w:pPr>
        <w:jc w:val="center"/>
        <w:rPr>
          <w:rFonts w:ascii="方正小标宋简体" w:eastAsia="方正小标宋简体"/>
          <w:color w:val="000000" w:themeColor="text1"/>
          <w:sz w:val="44"/>
          <w:szCs w:val="44"/>
        </w:rPr>
      </w:pPr>
      <w:r w:rsidRPr="00F141E6">
        <w:rPr>
          <w:rFonts w:ascii="方正小标宋简体" w:eastAsia="方正小标宋简体" w:hAnsi="方正小标宋简体" w:cs="方正小标宋简体" w:hint="eastAsia"/>
          <w:color w:val="000000" w:themeColor="text1"/>
          <w:sz w:val="44"/>
          <w:szCs w:val="44"/>
        </w:rPr>
        <w:t>山东省商务厅行政权力清单</w:t>
      </w:r>
      <w:r w:rsidRPr="00F141E6">
        <w:rPr>
          <w:rFonts w:ascii="方正小标宋简体" w:eastAsia="方正小标宋简体" w:hint="eastAsia"/>
          <w:color w:val="000000" w:themeColor="text1"/>
          <w:sz w:val="44"/>
          <w:szCs w:val="44"/>
        </w:rPr>
        <w:t>（行政处罚类）</w:t>
      </w:r>
    </w:p>
    <w:p w:rsidR="00CC115E" w:rsidRPr="00F141E6" w:rsidRDefault="005875F0" w:rsidP="00FE16E5">
      <w:pPr>
        <w:spacing w:beforeLines="50"/>
        <w:rPr>
          <w:color w:val="000000" w:themeColor="text1"/>
        </w:rPr>
      </w:pPr>
      <w:r w:rsidRPr="00F141E6">
        <w:rPr>
          <w:rFonts w:hint="eastAsia"/>
          <w:color w:val="000000" w:themeColor="text1"/>
        </w:rPr>
        <w:t>部门：省商务厅</w:t>
      </w:r>
    </w:p>
    <w:tbl>
      <w:tblPr>
        <w:tblW w:w="14430" w:type="dxa"/>
        <w:jc w:val="center"/>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25"/>
        <w:gridCol w:w="1980"/>
        <w:gridCol w:w="7560"/>
        <w:gridCol w:w="1380"/>
        <w:gridCol w:w="1185"/>
        <w:gridCol w:w="1500"/>
      </w:tblGrid>
      <w:tr w:rsidR="00CC115E" w:rsidRPr="00F141E6">
        <w:trPr>
          <w:trHeight w:val="1064"/>
          <w:tblHeader/>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黑体" w:eastAsia="黑体" w:cs="宋体"/>
                <w:color w:val="000000" w:themeColor="text1"/>
                <w:szCs w:val="21"/>
              </w:rPr>
            </w:pPr>
            <w:r w:rsidRPr="00F141E6">
              <w:rPr>
                <w:rFonts w:ascii="黑体" w:eastAsia="黑体" w:hint="eastAsia"/>
                <w:color w:val="000000" w:themeColor="text1"/>
                <w:szCs w:val="21"/>
              </w:rPr>
              <w:t>类别</w:t>
            </w:r>
          </w:p>
        </w:tc>
        <w:tc>
          <w:tcPr>
            <w:tcW w:w="1980" w:type="dxa"/>
            <w:tcMar>
              <w:top w:w="15" w:type="dxa"/>
              <w:left w:w="15" w:type="dxa"/>
              <w:right w:w="15" w:type="dxa"/>
            </w:tcMar>
            <w:vAlign w:val="center"/>
          </w:tcPr>
          <w:p w:rsidR="00CC115E" w:rsidRPr="00F141E6" w:rsidRDefault="005875F0">
            <w:pPr>
              <w:adjustRightInd w:val="0"/>
              <w:snapToGrid w:val="0"/>
              <w:jc w:val="center"/>
              <w:rPr>
                <w:rFonts w:ascii="黑体" w:eastAsia="黑体" w:cs="宋体"/>
                <w:color w:val="000000" w:themeColor="text1"/>
                <w:szCs w:val="21"/>
              </w:rPr>
            </w:pPr>
            <w:r w:rsidRPr="00F141E6">
              <w:rPr>
                <w:rFonts w:ascii="黑体" w:eastAsia="黑体" w:hint="eastAsia"/>
                <w:color w:val="000000" w:themeColor="text1"/>
                <w:szCs w:val="21"/>
              </w:rPr>
              <w:t>项目名称</w:t>
            </w:r>
          </w:p>
        </w:tc>
        <w:tc>
          <w:tcPr>
            <w:tcW w:w="7560" w:type="dxa"/>
            <w:tcMar>
              <w:top w:w="15" w:type="dxa"/>
              <w:left w:w="15" w:type="dxa"/>
              <w:right w:w="15" w:type="dxa"/>
            </w:tcMar>
            <w:vAlign w:val="center"/>
          </w:tcPr>
          <w:p w:rsidR="00CC115E" w:rsidRPr="00F141E6" w:rsidRDefault="005875F0">
            <w:pPr>
              <w:adjustRightInd w:val="0"/>
              <w:snapToGrid w:val="0"/>
              <w:jc w:val="center"/>
              <w:rPr>
                <w:rFonts w:ascii="黑体" w:eastAsia="黑体" w:cs="宋体"/>
                <w:color w:val="000000" w:themeColor="text1"/>
                <w:szCs w:val="21"/>
              </w:rPr>
            </w:pPr>
            <w:r w:rsidRPr="00F141E6">
              <w:rPr>
                <w:rFonts w:ascii="黑体" w:eastAsia="黑体" w:hint="eastAsia"/>
                <w:color w:val="000000" w:themeColor="text1"/>
                <w:szCs w:val="21"/>
              </w:rPr>
              <w:t>实施依据</w:t>
            </w:r>
          </w:p>
        </w:tc>
        <w:tc>
          <w:tcPr>
            <w:tcW w:w="1380" w:type="dxa"/>
            <w:tcMar>
              <w:top w:w="15" w:type="dxa"/>
              <w:left w:w="15" w:type="dxa"/>
              <w:right w:w="15" w:type="dxa"/>
            </w:tcMar>
            <w:vAlign w:val="center"/>
          </w:tcPr>
          <w:p w:rsidR="00CC115E" w:rsidRPr="00F141E6" w:rsidRDefault="005875F0">
            <w:pPr>
              <w:adjustRightInd w:val="0"/>
              <w:snapToGrid w:val="0"/>
              <w:jc w:val="center"/>
              <w:rPr>
                <w:rFonts w:ascii="黑体" w:eastAsia="黑体" w:cs="宋体"/>
                <w:color w:val="000000" w:themeColor="text1"/>
                <w:szCs w:val="21"/>
              </w:rPr>
            </w:pPr>
            <w:r w:rsidRPr="00F141E6">
              <w:rPr>
                <w:rFonts w:ascii="黑体" w:eastAsia="黑体" w:hint="eastAsia"/>
                <w:color w:val="000000" w:themeColor="text1"/>
                <w:szCs w:val="21"/>
              </w:rPr>
              <w:t>实施对象</w:t>
            </w:r>
          </w:p>
        </w:tc>
        <w:tc>
          <w:tcPr>
            <w:tcW w:w="1185" w:type="dxa"/>
            <w:tcMar>
              <w:top w:w="15" w:type="dxa"/>
              <w:left w:w="15" w:type="dxa"/>
              <w:right w:w="15" w:type="dxa"/>
            </w:tcMar>
            <w:vAlign w:val="center"/>
          </w:tcPr>
          <w:p w:rsidR="00CC115E" w:rsidRPr="00F141E6" w:rsidRDefault="005875F0">
            <w:pPr>
              <w:adjustRightInd w:val="0"/>
              <w:snapToGrid w:val="0"/>
              <w:jc w:val="center"/>
              <w:rPr>
                <w:rFonts w:ascii="黑体" w:eastAsia="黑体" w:cs="宋体"/>
                <w:color w:val="000000" w:themeColor="text1"/>
                <w:szCs w:val="21"/>
              </w:rPr>
            </w:pPr>
            <w:r w:rsidRPr="00F141E6">
              <w:rPr>
                <w:rFonts w:ascii="黑体" w:eastAsia="黑体" w:hint="eastAsia"/>
                <w:color w:val="000000" w:themeColor="text1"/>
                <w:szCs w:val="21"/>
              </w:rPr>
              <w:t>承办机构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黑体" w:eastAsia="黑体" w:cs="宋体"/>
                <w:color w:val="000000" w:themeColor="text1"/>
                <w:szCs w:val="21"/>
              </w:rPr>
            </w:pPr>
            <w:r w:rsidRPr="00F141E6">
              <w:rPr>
                <w:rFonts w:ascii="黑体" w:eastAsia="黑体" w:hint="eastAsia"/>
                <w:color w:val="000000" w:themeColor="text1"/>
                <w:szCs w:val="21"/>
              </w:rPr>
              <w:t>办理情况公开范围</w:t>
            </w:r>
          </w:p>
        </w:tc>
      </w:tr>
      <w:tr w:rsidR="00CC115E" w:rsidRPr="00F141E6">
        <w:trPr>
          <w:trHeight w:val="5130"/>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对违反对外承包工程质量和安全生产管理行为的处罚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12"/>
              <w:rPr>
                <w:rFonts w:ascii="宋体"/>
                <w:color w:val="000000" w:themeColor="text1"/>
                <w:spacing w:val="-2"/>
                <w:szCs w:val="21"/>
              </w:rPr>
            </w:pPr>
            <w:r w:rsidRPr="00F141E6">
              <w:rPr>
                <w:rFonts w:ascii="宋体" w:hint="eastAsia"/>
                <w:color w:val="000000" w:themeColor="text1"/>
                <w:spacing w:val="-2"/>
                <w:szCs w:val="21"/>
              </w:rPr>
              <w:t xml:space="preserve">《对外承包工程管理条例》（国务院令 第527号）第二十五条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一）未建立并严格执行工程质量和安全生产管理的规章制度的；（二）没有专门的安全管理机构和人员负责保护外派人员的人身和财产安全，或者未根据所承包工程项目的具体情况制定保护外派人员人身和财产安全的方案并落实所需经费的；（三）未对外派人员进行安全防范教育和应急知识培训的；（四）未制定突发事件应急预案，或者在境外发生突发事件，未及时、妥善处理的。 </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企业或其他单位</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省商务厅外经处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8345"/>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对违反对外承包工程承包和分包规定行为的处罚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olor w:val="000000" w:themeColor="text1"/>
                <w:szCs w:val="21"/>
              </w:rPr>
            </w:pPr>
            <w:r w:rsidRPr="00F141E6">
              <w:rPr>
                <w:rFonts w:ascii="宋体" w:hint="eastAsia"/>
                <w:color w:val="000000" w:themeColor="text1"/>
                <w:szCs w:val="21"/>
              </w:rPr>
              <w:t>《对外承包工程管理条例》（国务院令第527号）第二十六条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一）以不正当的低价承揽工程项目、串通投标或者进行商业贿赂的；（二）未与分包单位订立专门的工程质量和安全生产管理协议，或者未在分包合同中约定各自的工程质量和安全生产管理责任，或者未对分包单位的工程质量和安全生产工作统一协调、管理的；（三）将工程项目分包给不具备国家规定的相应资质的单位，或者将工程项目的建筑施工部分分包给未依法取得安全生产许可证的境内建筑施工企业的；（四）未在分包合同中明确约定分包单位不得将工程项目转包或者再分包的。分包单位将其承包的工程项目转包或者再分包的，由建设主管部门责令改正，依照前款规定的数额对分包单位及其主要负责人处以罚款；造成重大工程质量问题，或者发生较大事故以上生产安全事故的，建设主管部门或者其他有关主管部门可以降低其资质等级或者吊销其资质证书。</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企业或其他单位</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省商务厅外经处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3370"/>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对违反对外承包工程报告义务的处罚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olor w:val="000000" w:themeColor="text1"/>
                <w:szCs w:val="21"/>
              </w:rPr>
            </w:pPr>
            <w:r w:rsidRPr="00F141E6">
              <w:rPr>
                <w:rFonts w:ascii="宋体" w:hint="eastAsia"/>
                <w:color w:val="000000" w:themeColor="text1"/>
                <w:szCs w:val="21"/>
              </w:rPr>
              <w:t>《对外承包工程管理条例》（国务院令第527号）第二十七条 对外承包工程的单位有下列情形之一的，由商务主管部门责令改正，处2万元以上5万元以下的罚款；拒不改正的，对其主要负责人处5000元以上1万元以下的罚款：（一）与境外工程项目发包人订立合同后，未及时向中国驻该工程项目所在国使馆（领馆）报告的；（二）在境外发生突发事件，未立即向中国驻该工程项目所在国使馆（领馆）和国内有关主管部门报告的；（三）未定期向商务主管部门报告其开展对外承包工程的情况，或者未按照规定向有关部门报送业务统计资料的。</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企业或其他单位</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省商务厅外经处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3146"/>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对外承包工程单位损害外派人员利益行为的处罚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olor w:val="000000" w:themeColor="text1"/>
                <w:szCs w:val="21"/>
              </w:rPr>
            </w:pPr>
            <w:r w:rsidRPr="00F141E6">
              <w:rPr>
                <w:rFonts w:ascii="宋体" w:hint="eastAsia"/>
                <w:color w:val="000000" w:themeColor="text1"/>
                <w:szCs w:val="21"/>
              </w:rPr>
              <w:t xml:space="preserve">《对外承包工程管理条例》（国务院令第527号）第二十八条 对外承包工程的单位通过未依法取得许可或者有重大违法行为的中介机构招用外派人员，或者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 </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企业或其他单位</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省商务厅外经处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2727"/>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企业以提供虚假材料等不正当手段办理备案并取得《企业境外投资证书》的处罚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《境外投资管理办法》（商务部令2014年3号）第十八条 企业以提供虚假材料等不正当手段办理备案并取得《证书》的，商务部或省级商务主管部门撤销该企业境外投资备案，给予警告，并依法公布处罚决定。</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省商务厅外经处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向申请人</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2517"/>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企业伪造、涂改、出租、出借或以任何其他形式转让《企业境外投资证书》的处罚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《境外投资管理办法》（商务部令2014年3号）第三十一条 企业伪造、涂改、出租、出借或以任何其他形式转让《证书》的，商务部或省级商务主管部门给予警告；构成犯罪的，依法追究刑事责任。</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省商务厅外经处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向申请人公开</w:t>
            </w:r>
          </w:p>
        </w:tc>
      </w:tr>
      <w:tr w:rsidR="00CC115E" w:rsidRPr="00F141E6">
        <w:trPr>
          <w:trHeight w:val="2321"/>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发卡企业或售卡企业未按规定履行公示或告知义务的处罚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12"/>
              <w:rPr>
                <w:rFonts w:ascii="宋体" w:cs="宋体"/>
                <w:color w:val="000000" w:themeColor="text1"/>
                <w:spacing w:val="-2"/>
                <w:szCs w:val="21"/>
              </w:rPr>
            </w:pPr>
            <w:r w:rsidRPr="00F141E6">
              <w:rPr>
                <w:rFonts w:ascii="宋体" w:hint="eastAsia"/>
                <w:color w:val="000000" w:themeColor="text1"/>
                <w:spacing w:val="-2"/>
                <w:szCs w:val="21"/>
              </w:rPr>
              <w:t xml:space="preserve">《单用途商业预付卡管理办法（试行）》（商务部令2012年第9号）第三十七条 发卡企业或售卡企业违反本办法第十四条至第二十二条规定的，由违法行为发生地县级以上地方人民政府商务主管部门责令限期改正；逾期仍不改正的，处以1万元以上3万元以下罚款。 </w:t>
            </w:r>
            <w:r w:rsidRPr="00F141E6">
              <w:rPr>
                <w:rFonts w:ascii="宋体" w:cs="宋体" w:hint="eastAsia"/>
                <w:color w:val="000000" w:themeColor="text1"/>
                <w:spacing w:val="-2"/>
                <w:kern w:val="0"/>
                <w:szCs w:val="21"/>
              </w:rPr>
              <w:t>第十四条 发卡企业或售卡企业应公示</w:t>
            </w:r>
            <w:proofErr w:type="gramStart"/>
            <w:r w:rsidRPr="00F141E6">
              <w:rPr>
                <w:rFonts w:ascii="宋体" w:cs="宋体" w:hint="eastAsia"/>
                <w:color w:val="000000" w:themeColor="text1"/>
                <w:spacing w:val="-2"/>
                <w:kern w:val="0"/>
                <w:szCs w:val="21"/>
              </w:rPr>
              <w:t>或向购卡人</w:t>
            </w:r>
            <w:proofErr w:type="gramEnd"/>
            <w:r w:rsidRPr="00F141E6">
              <w:rPr>
                <w:rFonts w:ascii="宋体" w:cs="宋体" w:hint="eastAsia"/>
                <w:color w:val="000000" w:themeColor="text1"/>
                <w:spacing w:val="-2"/>
                <w:kern w:val="0"/>
                <w:szCs w:val="21"/>
              </w:rPr>
              <w:t>提供单用途卡章程，并应购卡人要求签订购卡协议。发卡企业或售卡企业应履行提示告知义务，确保购卡人知晓并认可单用途卡章程或协议内容。……</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厅市场</w:t>
            </w:r>
            <w:proofErr w:type="gramEnd"/>
            <w:r w:rsidRPr="00F141E6">
              <w:rPr>
                <w:rFonts w:ascii="宋体" w:hint="eastAsia"/>
                <w:color w:val="000000" w:themeColor="text1"/>
                <w:szCs w:val="21"/>
              </w:rPr>
              <w:t>秩序处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1845"/>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发卡企业未按规定严格管理预收资金的处罚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 xml:space="preserve">《单用途商业预付卡管理办法（试行）》（商务部令2012年第9号）第三十七条第二款 发卡企业违反本办法第二十四条至第二十七条、第三十一条规定的，由备案机关责令限期改正；逾期仍不改正的，处以1万元以上3万元以下罚款。 </w:t>
            </w:r>
            <w:r w:rsidRPr="00F141E6">
              <w:rPr>
                <w:rFonts w:ascii="宋体" w:cs="宋体" w:hint="eastAsia"/>
                <w:color w:val="000000" w:themeColor="text1"/>
                <w:kern w:val="0"/>
                <w:szCs w:val="21"/>
              </w:rPr>
              <w:t>第二十四条 发卡企业应对预收资金进行严格管理。预收资金只能用于发卡企业主营业务，不得用于不动产、股权、证券等投资及借贷。</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厅市场</w:t>
            </w:r>
            <w:proofErr w:type="gramEnd"/>
            <w:r w:rsidRPr="00F141E6">
              <w:rPr>
                <w:rFonts w:ascii="宋体" w:hint="eastAsia"/>
                <w:color w:val="000000" w:themeColor="text1"/>
                <w:szCs w:val="21"/>
              </w:rPr>
              <w:t>秩序处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3761"/>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发卡企业预收资金余额超过规定比例的处罚</w:t>
            </w:r>
          </w:p>
        </w:tc>
        <w:tc>
          <w:tcPr>
            <w:tcW w:w="7560" w:type="dxa"/>
            <w:tcMar>
              <w:top w:w="15" w:type="dxa"/>
              <w:left w:w="15" w:type="dxa"/>
              <w:right w:w="15" w:type="dxa"/>
            </w:tcMar>
            <w:vAlign w:val="center"/>
          </w:tcPr>
          <w:p w:rsidR="00CC115E" w:rsidRPr="00F141E6" w:rsidRDefault="005875F0">
            <w:pPr>
              <w:adjustRightInd w:val="0"/>
              <w:snapToGrid w:val="0"/>
              <w:spacing w:line="240" w:lineRule="exact"/>
              <w:ind w:firstLineChars="200" w:firstLine="420"/>
              <w:rPr>
                <w:rFonts w:ascii="宋体" w:cs="宋体"/>
                <w:color w:val="000000" w:themeColor="text1"/>
                <w:szCs w:val="21"/>
              </w:rPr>
            </w:pPr>
            <w:r w:rsidRPr="00F141E6">
              <w:rPr>
                <w:rFonts w:ascii="宋体" w:hint="eastAsia"/>
                <w:color w:val="000000" w:themeColor="text1"/>
                <w:szCs w:val="21"/>
              </w:rPr>
              <w:t xml:space="preserve">《单用途商业预付卡管理办法（试行）》（商务部令2012年第9号）第三十七条第二款 发卡企业违反本办法第二十四条至第二十七条、第三十一条规定的，由备案机关责令限期改正；逾期仍不改正的，处以1万元以上3万元以下罚款。 </w:t>
            </w:r>
            <w:r w:rsidRPr="00F141E6">
              <w:rPr>
                <w:rFonts w:ascii="宋体" w:cs="宋体" w:hint="eastAsia"/>
                <w:color w:val="000000" w:themeColor="text1"/>
                <w:kern w:val="0"/>
                <w:szCs w:val="21"/>
              </w:rPr>
              <w:t>第二十五条 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集团发卡企业预收资金余额不得超过其上一会计年度本集团营业收入的30%。本办法所称预收资金是指发卡企业通过发行单用途卡所预收的资金总额，预收资金余额是指预收资金扣减已兑付商品或服务价款后的余额。</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厅市场</w:t>
            </w:r>
            <w:proofErr w:type="gramEnd"/>
            <w:r w:rsidRPr="00F141E6">
              <w:rPr>
                <w:rFonts w:ascii="宋体" w:hint="eastAsia"/>
                <w:color w:val="000000" w:themeColor="text1"/>
                <w:szCs w:val="21"/>
              </w:rPr>
              <w:t>秩序处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2098"/>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发卡企业未实行资金存管制度，以及存管资金低于规定比例的处罚</w:t>
            </w:r>
          </w:p>
        </w:tc>
        <w:tc>
          <w:tcPr>
            <w:tcW w:w="7560" w:type="dxa"/>
            <w:tcMar>
              <w:top w:w="15" w:type="dxa"/>
              <w:left w:w="15" w:type="dxa"/>
              <w:right w:w="15" w:type="dxa"/>
            </w:tcMar>
            <w:vAlign w:val="center"/>
          </w:tcPr>
          <w:p w:rsidR="00CC115E" w:rsidRPr="00F141E6" w:rsidRDefault="005875F0">
            <w:pPr>
              <w:adjustRightInd w:val="0"/>
              <w:snapToGrid w:val="0"/>
              <w:spacing w:line="240" w:lineRule="exact"/>
              <w:ind w:firstLineChars="200" w:firstLine="420"/>
              <w:rPr>
                <w:rFonts w:ascii="宋体" w:cs="宋体"/>
                <w:color w:val="000000" w:themeColor="text1"/>
                <w:szCs w:val="21"/>
              </w:rPr>
            </w:pPr>
            <w:r w:rsidRPr="00F141E6">
              <w:rPr>
                <w:rFonts w:ascii="宋体" w:hint="eastAsia"/>
                <w:color w:val="000000" w:themeColor="text1"/>
                <w:szCs w:val="21"/>
              </w:rPr>
              <w:t xml:space="preserve">《单用途商业预付卡管理办法（试行）》（商务部令2012年第9号）第三十七条第二款 发卡企业违反本办法第二十四条至第二十七条、第三十一条规定的，由备案机关责令限期改正；逾期仍不改正的，处以1万元以上3万元以下罚款。 </w:t>
            </w:r>
            <w:r w:rsidRPr="00F141E6">
              <w:rPr>
                <w:rFonts w:ascii="宋体" w:cs="宋体" w:hint="eastAsia"/>
                <w:color w:val="000000" w:themeColor="text1"/>
                <w:kern w:val="0"/>
                <w:szCs w:val="21"/>
              </w:rPr>
              <w:t>第二十六条 规模发卡企业、集团发卡企业和品牌发卡企业实行资金存管制度。规模发卡企业存管资金比例不低于上一季度预收资金余额的20%；集团发卡企业存管资金比例不低于上一季度预收资金余额的30%；品牌发卡企业存管资金比例不低于上一季度预收资金余额的40%。</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厅市场</w:t>
            </w:r>
            <w:proofErr w:type="gramEnd"/>
            <w:r w:rsidRPr="00F141E6">
              <w:rPr>
                <w:rFonts w:ascii="宋体" w:hint="eastAsia"/>
                <w:color w:val="000000" w:themeColor="text1"/>
                <w:szCs w:val="21"/>
              </w:rPr>
              <w:t>秩序处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2698"/>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发卡企业未按规定确定资金存管账户，以及未与存管资金银行签订存管协议的处罚</w:t>
            </w:r>
          </w:p>
        </w:tc>
        <w:tc>
          <w:tcPr>
            <w:tcW w:w="7560" w:type="dxa"/>
            <w:tcMar>
              <w:top w:w="15" w:type="dxa"/>
              <w:left w:w="15" w:type="dxa"/>
              <w:right w:w="15" w:type="dxa"/>
            </w:tcMar>
            <w:vAlign w:val="center"/>
          </w:tcPr>
          <w:p w:rsidR="00CC115E" w:rsidRPr="00F141E6" w:rsidRDefault="005875F0">
            <w:pPr>
              <w:adjustRightInd w:val="0"/>
              <w:snapToGrid w:val="0"/>
              <w:spacing w:line="240" w:lineRule="exact"/>
              <w:ind w:firstLineChars="200" w:firstLine="404"/>
              <w:rPr>
                <w:rFonts w:ascii="宋体" w:cs="宋体"/>
                <w:color w:val="000000" w:themeColor="text1"/>
                <w:spacing w:val="-4"/>
                <w:szCs w:val="21"/>
              </w:rPr>
            </w:pPr>
            <w:r w:rsidRPr="00F141E6">
              <w:rPr>
                <w:rFonts w:ascii="宋体" w:hint="eastAsia"/>
                <w:color w:val="000000" w:themeColor="text1"/>
                <w:spacing w:val="-4"/>
                <w:szCs w:val="21"/>
              </w:rPr>
              <w:t xml:space="preserve">《单用途商业预付卡管理办法（试行）》（商务部令2012年第9号）第三十七条第二款 发卡企业违反本办法第二十四条至第二十七条、第三十一条规定的，由备案机关责令限期改正；逾期仍不改正的，处以1万元以上3万元以下罚款。 </w:t>
            </w:r>
            <w:r w:rsidRPr="00F141E6">
              <w:rPr>
                <w:rFonts w:ascii="宋体" w:cs="宋体" w:hint="eastAsia"/>
                <w:color w:val="000000" w:themeColor="text1"/>
                <w:spacing w:val="-4"/>
                <w:kern w:val="0"/>
                <w:szCs w:val="21"/>
              </w:rPr>
              <w:t>第二十七条 规模发卡企业、集团发卡企业和品牌发卡企业应确定一个商业银行账户作为资金存管账户，并与存管银行签订资金存管协议。资金存管协议应规定存管银行对发卡企业资金存管比例进行监督，对超额调用存管资金的指令予以拒绝，并按照备案机关要求提供发卡企业资金存缴情况。</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厅市场</w:t>
            </w:r>
            <w:proofErr w:type="gramEnd"/>
            <w:r w:rsidRPr="00F141E6">
              <w:rPr>
                <w:rFonts w:ascii="宋体" w:hint="eastAsia"/>
                <w:color w:val="000000" w:themeColor="text1"/>
                <w:szCs w:val="21"/>
              </w:rPr>
              <w:t>秩序处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3299"/>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发卡企业未按规定填报单用途卡业务信息的处罚</w:t>
            </w:r>
          </w:p>
        </w:tc>
        <w:tc>
          <w:tcPr>
            <w:tcW w:w="7560" w:type="dxa"/>
            <w:tcMar>
              <w:top w:w="15" w:type="dxa"/>
              <w:left w:w="15" w:type="dxa"/>
              <w:right w:w="15" w:type="dxa"/>
            </w:tcMar>
            <w:vAlign w:val="center"/>
          </w:tcPr>
          <w:p w:rsidR="00CC115E" w:rsidRPr="00F141E6" w:rsidRDefault="005875F0">
            <w:pPr>
              <w:adjustRightInd w:val="0"/>
              <w:snapToGrid w:val="0"/>
              <w:spacing w:line="240" w:lineRule="exact"/>
              <w:ind w:firstLineChars="200" w:firstLine="420"/>
              <w:rPr>
                <w:rFonts w:ascii="宋体" w:cs="宋体"/>
                <w:color w:val="000000" w:themeColor="text1"/>
                <w:szCs w:val="21"/>
              </w:rPr>
            </w:pPr>
            <w:r w:rsidRPr="00F141E6">
              <w:rPr>
                <w:rFonts w:ascii="宋体" w:hint="eastAsia"/>
                <w:color w:val="000000" w:themeColor="text1"/>
                <w:szCs w:val="21"/>
              </w:rPr>
              <w:t xml:space="preserve">《单用途商业预付卡管理办法（试行）》（商务部令2012年第9号）第三十七条第二款 发卡企业违反本办法第二十四条至第二十七条、第三十一条规定的，由备案机关责令限期改正；逾期仍不改正的，处以1万元以上3万元以下罚款。 </w:t>
            </w:r>
            <w:r w:rsidRPr="00F141E6">
              <w:rPr>
                <w:rFonts w:ascii="宋体" w:cs="宋体" w:hint="eastAsia"/>
                <w:color w:val="000000" w:themeColor="text1"/>
                <w:kern w:val="0"/>
                <w:szCs w:val="21"/>
              </w:rPr>
              <w:t>第三十一条 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发卡企业填报的信息应当准确、真实、完整，不得故意隐瞒或虚报。</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厅市场</w:t>
            </w:r>
            <w:proofErr w:type="gramEnd"/>
            <w:r w:rsidRPr="00F141E6">
              <w:rPr>
                <w:rFonts w:ascii="宋体" w:hint="eastAsia"/>
                <w:color w:val="000000" w:themeColor="text1"/>
                <w:szCs w:val="21"/>
              </w:rPr>
              <w:t>秩序处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1888"/>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集团发卡企业、品牌发卡企业疏于管理的处罚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 xml:space="preserve">《单用途商业预付卡管理办法（试行）》（商务部令2012年第9号）第三十七条第三款  集团发卡企业、品牌发卡企业疏于管理，其隶属的售卡企业12个月内3次违反本办法规定受到行政处罚的，备案机关可以对集团发卡企业、品牌发卡企业处以3万元以下罚款。 </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厅市场</w:t>
            </w:r>
            <w:proofErr w:type="gramEnd"/>
            <w:r w:rsidRPr="00F141E6">
              <w:rPr>
                <w:rFonts w:ascii="宋体" w:hint="eastAsia"/>
                <w:color w:val="000000" w:themeColor="text1"/>
                <w:szCs w:val="21"/>
              </w:rPr>
              <w:t>秩序处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3607"/>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集团发卡企业、品牌发卡企业未按规定建立业务处理系统、发生重大技术故障时未立即向备案机关报告的处罚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《单用途商业预付卡管理办法（试行）》（商务部令2012年第9号）第三十八条 发卡企业违反本办法第二十九条规定，造成重大损失的，由备案机关处以1万元以上3万元以下罚款。第二十九条 规模发卡企业、集团发卡企业和品牌发卡企业应在境内建立与发行单用途卡规模相适应的业务处理系统，并保障业务处理系统信息安全和运行质量。发生重大或不可恢复的技术故障时，规模发卡企业、集团发卡企业、品牌发卡企业应立即向备案机关报告。</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厅市场</w:t>
            </w:r>
            <w:proofErr w:type="gramEnd"/>
            <w:r w:rsidRPr="00F141E6">
              <w:rPr>
                <w:rFonts w:ascii="宋体" w:hint="eastAsia"/>
                <w:color w:val="000000" w:themeColor="text1"/>
                <w:szCs w:val="21"/>
              </w:rPr>
              <w:t>秩序处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2656"/>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 xml:space="preserve">出租、擅自转让拍卖经营权行为的处罚 </w:t>
            </w:r>
          </w:p>
        </w:tc>
        <w:tc>
          <w:tcPr>
            <w:tcW w:w="7560" w:type="dxa"/>
            <w:tcMar>
              <w:top w:w="15" w:type="dxa"/>
              <w:left w:w="15" w:type="dxa"/>
              <w:right w:w="15" w:type="dxa"/>
            </w:tcMar>
            <w:vAlign w:val="center"/>
          </w:tcPr>
          <w:p w:rsidR="00CC115E" w:rsidRPr="00F141E6" w:rsidRDefault="005875F0">
            <w:pPr>
              <w:widowControl/>
              <w:shd w:val="clear" w:color="auto" w:fill="FFFFFF"/>
              <w:ind w:firstLineChars="200" w:firstLine="420"/>
              <w:rPr>
                <w:rFonts w:ascii="仿宋_GB2312" w:eastAsia="仿宋_GB2312"/>
                <w:color w:val="000000" w:themeColor="text1"/>
                <w:szCs w:val="21"/>
              </w:rPr>
            </w:pPr>
            <w:r w:rsidRPr="00F141E6">
              <w:rPr>
                <w:rFonts w:ascii="宋体" w:hint="eastAsia"/>
                <w:color w:val="000000" w:themeColor="text1"/>
                <w:szCs w:val="21"/>
              </w:rPr>
              <w:t>《拍卖管理办法》（商务部令2004年第24号）第四十九条：</w:t>
            </w:r>
            <w:r w:rsidRPr="00F141E6">
              <w:rPr>
                <w:rFonts w:ascii="宋体" w:hint="eastAsia"/>
                <w:color w:val="000000" w:themeColor="text1"/>
                <w:szCs w:val="21"/>
              </w:rPr>
              <w:t> </w:t>
            </w:r>
            <w:r w:rsidRPr="00F141E6">
              <w:rPr>
                <w:rFonts w:ascii="宋体" w:hint="eastAsia"/>
                <w:color w:val="000000" w:themeColor="text1"/>
                <w:szCs w:val="21"/>
              </w:rPr>
              <w:t>拍卖企业违反第三十条第（一）项，由省级商务主管部门责令其改正，并处三万元以下罚款。 第三十条</w:t>
            </w:r>
            <w:r w:rsidRPr="00F141E6">
              <w:rPr>
                <w:rFonts w:ascii="宋体" w:hint="eastAsia"/>
                <w:color w:val="000000" w:themeColor="text1"/>
                <w:szCs w:val="21"/>
              </w:rPr>
              <w:t> </w:t>
            </w:r>
            <w:r w:rsidRPr="00F141E6">
              <w:rPr>
                <w:rFonts w:ascii="宋体" w:hint="eastAsia"/>
                <w:color w:val="000000" w:themeColor="text1"/>
                <w:szCs w:val="21"/>
              </w:rPr>
              <w:t>拍卖企业应当依法开展拍卖活动，不得有下列行为：（一）出租、擅自转让拍卖经营权……</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厅市流通业处</w:t>
            </w:r>
            <w:proofErr w:type="gramEnd"/>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2615"/>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雇佣未依法注册的拍卖师或其他人员充任拍卖</w:t>
            </w:r>
            <w:proofErr w:type="gramStart"/>
            <w:r w:rsidRPr="00F141E6">
              <w:rPr>
                <w:rFonts w:ascii="宋体" w:hint="eastAsia"/>
                <w:color w:val="000000" w:themeColor="text1"/>
                <w:szCs w:val="21"/>
              </w:rPr>
              <w:t>师主持</w:t>
            </w:r>
            <w:proofErr w:type="gramEnd"/>
            <w:r w:rsidRPr="00F141E6">
              <w:rPr>
                <w:rFonts w:ascii="宋体" w:hint="eastAsia"/>
                <w:color w:val="000000" w:themeColor="text1"/>
                <w:szCs w:val="21"/>
              </w:rPr>
              <w:t xml:space="preserve">拍卖活动行为的处罚   </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拍卖管理办法》（商务部令2004年第24号）第五十条：拍卖企业违反本办法第三十条第（三）项的规定，由省级商务主管部门视情节轻重予以警告，并处以非法所得额一倍以上的罚款，但最高不超过三万元；没有非法所得的，处以一万元以下的罚款。造成委托人和买受人损失的，拍卖企业应当依法给予赔偿。 第三十条 拍卖企业应当依法开展拍卖活动，不得有下列行为：（三）雇佣未依法注册的拍卖师或其他人员充任拍卖</w:t>
            </w:r>
            <w:proofErr w:type="gramStart"/>
            <w:r w:rsidRPr="00F141E6">
              <w:rPr>
                <w:rFonts w:ascii="宋体" w:hint="eastAsia"/>
                <w:color w:val="000000" w:themeColor="text1"/>
                <w:szCs w:val="21"/>
              </w:rPr>
              <w:t>师主持</w:t>
            </w:r>
            <w:proofErr w:type="gramEnd"/>
            <w:r w:rsidRPr="00F141E6">
              <w:rPr>
                <w:rFonts w:ascii="宋体" w:hint="eastAsia"/>
                <w:color w:val="000000" w:themeColor="text1"/>
                <w:szCs w:val="21"/>
              </w:rPr>
              <w:t>拍卖活动的……</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厅流通</w:t>
            </w:r>
            <w:proofErr w:type="gramEnd"/>
            <w:r w:rsidRPr="00F141E6">
              <w:rPr>
                <w:rFonts w:ascii="宋体" w:hint="eastAsia"/>
                <w:color w:val="000000" w:themeColor="text1"/>
                <w:szCs w:val="21"/>
              </w:rPr>
              <w:t>业处处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1971"/>
          <w:jc w:val="center"/>
        </w:trPr>
        <w:tc>
          <w:tcPr>
            <w:tcW w:w="825" w:type="dxa"/>
            <w:tcMar>
              <w:top w:w="15" w:type="dxa"/>
              <w:left w:w="15" w:type="dxa"/>
              <w:right w:w="15" w:type="dxa"/>
            </w:tcMar>
            <w:vAlign w:val="center"/>
          </w:tcPr>
          <w:p w:rsidR="00CC115E" w:rsidRPr="00F141E6" w:rsidRDefault="005875F0">
            <w:pPr>
              <w:adjustRightInd w:val="0"/>
              <w:snapToGrid w:val="0"/>
              <w:ind w:firstLineChars="100" w:firstLine="210"/>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 xml:space="preserve">拍卖前违规进行公告或展示行为的处罚 </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拍卖管理办法》（商务部令2004年第24号）第五十二条：拍卖企业违反本办法第三十五条、第三十六条规定，拍卖前违规进行公告或展示的，由省级商务主管部门视情节轻重予以警告，责令改正，延期拍卖或处以一万元以下罚款。 第三十五条 拍卖企业举办拍卖活动，应当根据拍卖标的物的属性及拍卖的性质，按照《拍卖法》及相关法律、行政法规规定的日期进行公告。公告应当发布在拍卖标的所在地以及拍卖会举行地商务主管部门指定的发行量较大的报纸或其他有同等影响的媒体。第三十六条 拍卖企业应当在拍卖会前展示拍卖标的，为竞买人提供查看拍卖标的</w:t>
            </w:r>
            <w:proofErr w:type="gramStart"/>
            <w:r w:rsidRPr="00F141E6">
              <w:rPr>
                <w:rFonts w:ascii="宋体" w:hint="eastAsia"/>
                <w:color w:val="000000" w:themeColor="text1"/>
                <w:szCs w:val="21"/>
              </w:rPr>
              <w:t>的</w:t>
            </w:r>
            <w:proofErr w:type="gramEnd"/>
            <w:r w:rsidRPr="00F141E6">
              <w:rPr>
                <w:rFonts w:ascii="宋体" w:hint="eastAsia"/>
                <w:color w:val="000000" w:themeColor="text1"/>
                <w:szCs w:val="21"/>
              </w:rPr>
              <w:t>条件并向竞买人提供有关资料。展示时间应不少于两日，鲜活物品或其他不易保存的物品除外。</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厅流通</w:t>
            </w:r>
            <w:proofErr w:type="gramEnd"/>
            <w:r w:rsidRPr="00F141E6">
              <w:rPr>
                <w:rFonts w:ascii="宋体" w:hint="eastAsia"/>
                <w:color w:val="000000" w:themeColor="text1"/>
                <w:szCs w:val="21"/>
              </w:rPr>
              <w:t>业处处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1902"/>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违反设立条件取得拍卖企业及分公司设立许可的处罚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《拍卖管理办法》（商务部令2004年第24号）第五十五条 有下列情形之一的，省级商务主管部门或商务部可以撤消有关拍卖企业及分公司设立的许可决定：（二）违反《拍卖法》和本办法规定的设立条件</w:t>
            </w:r>
            <w:proofErr w:type="gramStart"/>
            <w:r w:rsidRPr="00F141E6">
              <w:rPr>
                <w:rFonts w:ascii="宋体" w:hint="eastAsia"/>
                <w:color w:val="000000" w:themeColor="text1"/>
                <w:szCs w:val="21"/>
              </w:rPr>
              <w:t>作出</w:t>
            </w:r>
            <w:proofErr w:type="gramEnd"/>
            <w:r w:rsidRPr="00F141E6">
              <w:rPr>
                <w:rFonts w:ascii="宋体" w:hint="eastAsia"/>
                <w:color w:val="000000" w:themeColor="text1"/>
                <w:szCs w:val="21"/>
              </w:rPr>
              <w:t>准予设立决定的。</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厅流通</w:t>
            </w:r>
            <w:proofErr w:type="gramEnd"/>
            <w:r w:rsidRPr="00F141E6">
              <w:rPr>
                <w:rFonts w:ascii="宋体" w:hint="eastAsia"/>
                <w:color w:val="000000" w:themeColor="text1"/>
                <w:szCs w:val="21"/>
              </w:rPr>
              <w:t>业处处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8275"/>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典当行违规进行资金借贷和资产比例管理违规行为的处罚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《典当管理办法》(商务部、公安部令2005年第8号)第六十条 典当行违反本办法第二十八条第（一）、（二）、（三）项或者第四十四条第（一）、（二）、（五）项规定的，由省级商务主管部门责令改正，并处5000元以上3万元以下罚款；构成犯罪的，依法追究刑事责任。第二十八条 典当行不得有下列行为：（一）从商业银行以外的单位和个人借款；（二）与其他典当行拆借或者变相拆借资金；（三）超过规定限额从商业银行贷款； 第四十四条 典当行的资产应当按照下列比例进行管理：（一）典当行自初始营业起至第1次向省级商务主管部门及所在地商务主管部门报送年度财务会计报告的时期内从商业银行贷款的，贷款余额不得超过其注册资本。典当行第1次向省级商务主管部门及所在地商务主管部门报送财务会计报告之后从商业银行贷款的，贷款余额不得超过上</w:t>
            </w:r>
            <w:proofErr w:type="gramStart"/>
            <w:r w:rsidRPr="00F141E6">
              <w:rPr>
                <w:rFonts w:ascii="宋体" w:hint="eastAsia"/>
                <w:color w:val="000000" w:themeColor="text1"/>
                <w:szCs w:val="21"/>
              </w:rPr>
              <w:t>1</w:t>
            </w:r>
            <w:proofErr w:type="gramEnd"/>
            <w:r w:rsidRPr="00F141E6">
              <w:rPr>
                <w:rFonts w:ascii="宋体" w:hint="eastAsia"/>
                <w:color w:val="000000" w:themeColor="text1"/>
                <w:szCs w:val="21"/>
              </w:rPr>
              <w:t>年度向主管部门报送的财务会计报告中的所有者权益。典当行不得从本市（地、州、盟）以外的商业银行贷款。典当行分支机构不得从商业银行贷款。（二）典当行对同一法人或者自然人的典当余额不得超过注册资本的25％。（五）典当</w:t>
            </w:r>
            <w:proofErr w:type="gramStart"/>
            <w:r w:rsidRPr="00F141E6">
              <w:rPr>
                <w:rFonts w:ascii="宋体" w:hint="eastAsia"/>
                <w:color w:val="000000" w:themeColor="text1"/>
                <w:szCs w:val="21"/>
              </w:rPr>
              <w:t>行财产</w:t>
            </w:r>
            <w:proofErr w:type="gramEnd"/>
            <w:r w:rsidRPr="00F141E6">
              <w:rPr>
                <w:rFonts w:ascii="宋体" w:hint="eastAsia"/>
                <w:color w:val="000000" w:themeColor="text1"/>
                <w:szCs w:val="21"/>
              </w:rPr>
              <w:t>权利质押典当余额不得超过注册资本的50%。房地产抵押典当余额不得超过注册资本。注册资本不足1000万元的，房地产抵押典当单笔当金数额不得超过100万元。注册资本在1000万元以上的，房地产抵押典当单笔当金数额不得超过注册资本的10%。</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厅流通业处</w:t>
            </w:r>
            <w:proofErr w:type="gramEnd"/>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4152"/>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对当金利率和典当</w:t>
            </w:r>
            <w:proofErr w:type="gramStart"/>
            <w:r w:rsidRPr="00F141E6">
              <w:rPr>
                <w:rFonts w:ascii="宋体" w:hint="eastAsia"/>
                <w:color w:val="000000" w:themeColor="text1"/>
                <w:szCs w:val="21"/>
              </w:rPr>
              <w:t>月综合</w:t>
            </w:r>
            <w:proofErr w:type="gramEnd"/>
            <w:r w:rsidRPr="00F141E6">
              <w:rPr>
                <w:rFonts w:ascii="宋体" w:hint="eastAsia"/>
                <w:color w:val="000000" w:themeColor="text1"/>
                <w:szCs w:val="21"/>
              </w:rPr>
              <w:t>费率违规行为的处罚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《典当管理办法》（商务部、公安部2005年第8号令）第六十一条 典当行违反本办法第三十七条第一款或者第三十八条第二、三、四款规定的，由省级商务主管部门责令改正，并处5000元以上3万元以下罚款；构成犯罪的，依法追究刑事责任。 第三十七条第一款 典当</w:t>
            </w:r>
            <w:proofErr w:type="gramStart"/>
            <w:r w:rsidRPr="00F141E6">
              <w:rPr>
                <w:rFonts w:ascii="宋体" w:hint="eastAsia"/>
                <w:color w:val="000000" w:themeColor="text1"/>
                <w:szCs w:val="21"/>
              </w:rPr>
              <w:t>当</w:t>
            </w:r>
            <w:proofErr w:type="gramEnd"/>
            <w:r w:rsidRPr="00F141E6">
              <w:rPr>
                <w:rFonts w:ascii="宋体" w:hint="eastAsia"/>
                <w:color w:val="000000" w:themeColor="text1"/>
                <w:szCs w:val="21"/>
              </w:rPr>
              <w:t>金利率，按中国人民银行公布的银行机构6个月期法定贷款利率及典当期限折算后执行。 第三十八条第二、三、四款 典当综合费用包括各种服务及管理费用。 　　房地产抵押典当的</w:t>
            </w:r>
            <w:proofErr w:type="gramStart"/>
            <w:r w:rsidRPr="00F141E6">
              <w:rPr>
                <w:rFonts w:ascii="宋体" w:hint="eastAsia"/>
                <w:color w:val="000000" w:themeColor="text1"/>
                <w:szCs w:val="21"/>
              </w:rPr>
              <w:t>月综合</w:t>
            </w:r>
            <w:proofErr w:type="gramEnd"/>
            <w:r w:rsidRPr="00F141E6">
              <w:rPr>
                <w:rFonts w:ascii="宋体" w:hint="eastAsia"/>
                <w:color w:val="000000" w:themeColor="text1"/>
                <w:szCs w:val="21"/>
              </w:rPr>
              <w:t>费率不得超过当金的27‰。 　　财产权利质押典当的</w:t>
            </w:r>
            <w:proofErr w:type="gramStart"/>
            <w:r w:rsidRPr="00F141E6">
              <w:rPr>
                <w:rFonts w:ascii="宋体" w:hint="eastAsia"/>
                <w:color w:val="000000" w:themeColor="text1"/>
                <w:szCs w:val="21"/>
              </w:rPr>
              <w:t>月综合</w:t>
            </w:r>
            <w:proofErr w:type="gramEnd"/>
            <w:r w:rsidRPr="00F141E6">
              <w:rPr>
                <w:rFonts w:ascii="宋体" w:hint="eastAsia"/>
                <w:color w:val="000000" w:themeColor="text1"/>
                <w:szCs w:val="21"/>
              </w:rPr>
              <w:t>费率不得超过当金的24‰。 　　当期不足5日的，按5日收取有关费用。</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厅流通业处</w:t>
            </w:r>
            <w:proofErr w:type="gramEnd"/>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4264"/>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典当行未按规定执行财务会计制度和内部审计制度行为的处罚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《典当管理办法》（商务部、公安部令2005年第8号）第六十二条 典当行违反本办法第四十五条规定，隐瞒真实经营情况，提供虚假财务会计报告及财务报表，或者采用其他方式逃避税收与监管的，由省级商务主管部门责令改正， 并通报相关部门依法查处；构成犯罪的，依法追究刑事责任。 第四十五条 典当</w:t>
            </w:r>
            <w:proofErr w:type="gramStart"/>
            <w:r w:rsidRPr="00F141E6">
              <w:rPr>
                <w:rFonts w:ascii="宋体" w:hint="eastAsia"/>
                <w:color w:val="000000" w:themeColor="text1"/>
                <w:szCs w:val="21"/>
              </w:rPr>
              <w:t>行应当</w:t>
            </w:r>
            <w:proofErr w:type="gramEnd"/>
            <w:r w:rsidRPr="00F141E6">
              <w:rPr>
                <w:rFonts w:ascii="宋体" w:hint="eastAsia"/>
                <w:color w:val="000000" w:themeColor="text1"/>
                <w:szCs w:val="21"/>
              </w:rPr>
              <w:t>依照法律和国家统一的会计制度，建立、健全财务会计制度和内部审计制度。 　典当</w:t>
            </w:r>
            <w:proofErr w:type="gramStart"/>
            <w:r w:rsidRPr="00F141E6">
              <w:rPr>
                <w:rFonts w:ascii="宋体" w:hint="eastAsia"/>
                <w:color w:val="000000" w:themeColor="text1"/>
                <w:szCs w:val="21"/>
              </w:rPr>
              <w:t>行应当</w:t>
            </w:r>
            <w:proofErr w:type="gramEnd"/>
            <w:r w:rsidRPr="00F141E6">
              <w:rPr>
                <w:rFonts w:ascii="宋体" w:hint="eastAsia"/>
                <w:color w:val="000000" w:themeColor="text1"/>
                <w:szCs w:val="21"/>
              </w:rPr>
              <w:t>按照国家有关规定，真实记录并全面反映其业务活动和财务状况，编制月度报表和年度财务会计报告，并按要求向省级商务主管部门及所在地设区的市 （地）级商务主管部门报送。 　典当行年度财务会计报告须经会计师事务所或者其他法定机构审查验证。</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厅流通业处</w:t>
            </w:r>
            <w:proofErr w:type="gramEnd"/>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4585"/>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特许人不具备法定条件从事商业特许经营行为的处罚</w:t>
            </w:r>
          </w:p>
        </w:tc>
        <w:tc>
          <w:tcPr>
            <w:tcW w:w="7560" w:type="dxa"/>
            <w:tcMar>
              <w:top w:w="15" w:type="dxa"/>
              <w:left w:w="15" w:type="dxa"/>
              <w:right w:w="15" w:type="dxa"/>
            </w:tcMar>
            <w:vAlign w:val="center"/>
          </w:tcPr>
          <w:p w:rsidR="00CC115E" w:rsidRPr="00F141E6" w:rsidRDefault="005875F0">
            <w:pPr>
              <w:adjustRightInd w:val="0"/>
              <w:snapToGrid w:val="0"/>
              <w:spacing w:line="260" w:lineRule="exact"/>
              <w:ind w:firstLineChars="200" w:firstLine="420"/>
              <w:rPr>
                <w:rFonts w:ascii="宋体" w:cs="宋体"/>
                <w:color w:val="000000" w:themeColor="text1"/>
                <w:szCs w:val="21"/>
              </w:rPr>
            </w:pPr>
            <w:r w:rsidRPr="00F141E6">
              <w:rPr>
                <w:rFonts w:ascii="宋体" w:hint="eastAsia"/>
                <w:color w:val="000000" w:themeColor="text1"/>
                <w:szCs w:val="21"/>
              </w:rPr>
              <w:t>《商业特许经营管理条例》（国务院令485号）第二十四条　特许人不具备本条例第七条第二款规定的条件，从事特许经营活动的，由商务主管部门责令改正，没收违法所得，处10万元以上50万元以下的罚款，并予以公告。   企业以外的其他单位和个人作为特许人从事特许经营活动的，由商务主管部门责令停止非法经营活动，没收违法所得，并处10万元以上50万元以下的罚款。 第七条 特许人从事特许经营活动应当拥有成熟的经营模式，并具备为被特许人持续提供经营指导、技术支持和业务培训等服务的能力。 特许人从事特许经营活动应当拥有至少2个直营店，并且经营时间超过1年。</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企业，其他单位和个人</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厅流通业处</w:t>
            </w:r>
            <w:proofErr w:type="gramEnd"/>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3607"/>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特许人未依法向商务主管部门备案的行为的处罚</w:t>
            </w:r>
          </w:p>
        </w:tc>
        <w:tc>
          <w:tcPr>
            <w:tcW w:w="7560" w:type="dxa"/>
            <w:tcMar>
              <w:top w:w="15" w:type="dxa"/>
              <w:left w:w="15" w:type="dxa"/>
              <w:right w:w="15" w:type="dxa"/>
            </w:tcMar>
            <w:vAlign w:val="center"/>
          </w:tcPr>
          <w:p w:rsidR="00CC115E" w:rsidRPr="00F141E6" w:rsidRDefault="005875F0">
            <w:pPr>
              <w:adjustRightInd w:val="0"/>
              <w:snapToGrid w:val="0"/>
              <w:spacing w:line="260" w:lineRule="exact"/>
              <w:ind w:firstLineChars="200" w:firstLine="420"/>
              <w:rPr>
                <w:rFonts w:ascii="宋体" w:cs="宋体"/>
                <w:color w:val="000000" w:themeColor="text1"/>
                <w:szCs w:val="21"/>
              </w:rPr>
            </w:pPr>
            <w:r w:rsidRPr="00F141E6">
              <w:rPr>
                <w:rFonts w:ascii="宋体" w:hint="eastAsia"/>
                <w:color w:val="000000" w:themeColor="text1"/>
                <w:szCs w:val="21"/>
              </w:rPr>
              <w:t>《商业特许经营管理条例》（国务院令485号）第二十五条　特许人未依照本条例第八条的规定向商务主管部门备案的，由商务主管部门责令限期备案，处1万元以上5万元以下的罚款；逾期仍不备案的，处5万元以上10万元以下的罚款，并予以公告。  第八条　特许人应当自首次订立特许经营合同之日起15日内，依照本条例的规定向商务主管部门备案。在省、自治区、直辖市范围内从事特许经营活动的，应当向所在地省、自治区、直辖市人民政府商务主管部门备案；跨省、自治区、直辖市范围从事特许经营活动的，应当向国务院商务主管部门备案。</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厅流通</w:t>
            </w:r>
            <w:proofErr w:type="gramEnd"/>
            <w:r w:rsidRPr="00F141E6">
              <w:rPr>
                <w:rFonts w:ascii="宋体" w:hint="eastAsia"/>
                <w:color w:val="000000" w:themeColor="text1"/>
                <w:szCs w:val="21"/>
              </w:rPr>
              <w:t>业处处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3649"/>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olor w:val="000000" w:themeColor="text1"/>
                <w:szCs w:val="21"/>
              </w:rPr>
            </w:pPr>
            <w:r w:rsidRPr="00F141E6">
              <w:rPr>
                <w:rFonts w:ascii="宋体" w:hint="eastAsia"/>
                <w:color w:val="000000" w:themeColor="text1"/>
                <w:szCs w:val="21"/>
              </w:rPr>
              <w:t>特许人违反说明和报告义务的行为的处罚</w:t>
            </w:r>
          </w:p>
        </w:tc>
        <w:tc>
          <w:tcPr>
            <w:tcW w:w="7560" w:type="dxa"/>
            <w:tcMar>
              <w:top w:w="15" w:type="dxa"/>
              <w:left w:w="15" w:type="dxa"/>
              <w:right w:w="15" w:type="dxa"/>
            </w:tcMar>
            <w:vAlign w:val="center"/>
          </w:tcPr>
          <w:p w:rsidR="00CC115E" w:rsidRPr="00F141E6" w:rsidRDefault="005875F0">
            <w:pPr>
              <w:adjustRightInd w:val="0"/>
              <w:snapToGrid w:val="0"/>
              <w:spacing w:line="260" w:lineRule="exact"/>
              <w:ind w:firstLineChars="200" w:firstLine="420"/>
              <w:rPr>
                <w:rFonts w:ascii="宋体"/>
                <w:color w:val="000000" w:themeColor="text1"/>
                <w:szCs w:val="21"/>
              </w:rPr>
            </w:pPr>
            <w:r w:rsidRPr="00F141E6">
              <w:rPr>
                <w:rFonts w:ascii="宋体" w:hint="eastAsia"/>
                <w:color w:val="000000" w:themeColor="text1"/>
                <w:szCs w:val="21"/>
              </w:rPr>
              <w:t>《商业特许经营管理条例》（国务院令485号）第二十六条　特许人违反本条例第十六条、第十九条规定的，由商务主管部门责令改正，可以处1万元以下的罚款；情节严重的，处1万元以上5万元以下的罚款，并予以公告。  第十六条　特许人要求被特许人在订立特许经营合同前支付费用的，应当以书面形式向被特许人说明该部分费用的用途以及退还的条件、方式。　第十九条　特许人应当在每年第一季度将其上一年度订立特许经营合同的情况向商务主管部门报告。</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厅流通业处</w:t>
            </w:r>
            <w:proofErr w:type="gramEnd"/>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公开</w:t>
            </w:r>
          </w:p>
        </w:tc>
      </w:tr>
      <w:tr w:rsidR="00CC115E" w:rsidRPr="00F141E6">
        <w:trPr>
          <w:trHeight w:val="4515"/>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特许人违反信息披露义务行为的处罚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《商业特许经营管理条例》（国务院令485号）第二十八条　特许人违反本条例第二十一条、第二十三条规定，被特许人向商务主管部门举报并经查实的，由商务主管部门责令改正，处1万元以上5万元以下的罚款；情节严重的，处5万元以上10万元以下的罚款，并予以公告。 第二十一条　特许人应当在订立特许经营合同之日前至少30日，以书面形式向被特许人提供本条例第二十二条规定的信息，并提供特许经营合同文本。 第二十三条　特许人向被特许人提供的信息应当真实、准确、完整，不得隐瞒有关信息，或者提供虚假信息。   特许人向被特许人提供的信息发生重大变更的，应当及时通知被特许人。   特许人隐瞒有关信息或者提供虚假信息的，被特许人可以解除特许经营合同。</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企业</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省商务</w:t>
            </w:r>
            <w:proofErr w:type="gramStart"/>
            <w:r w:rsidRPr="00F141E6">
              <w:rPr>
                <w:rFonts w:ascii="宋体" w:hint="eastAsia"/>
                <w:color w:val="000000" w:themeColor="text1"/>
                <w:szCs w:val="21"/>
              </w:rPr>
              <w:t>厅流通业处</w:t>
            </w:r>
            <w:proofErr w:type="gramEnd"/>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2195"/>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机电产品招标人违规逃避国际招标行为的处罚</w:t>
            </w:r>
          </w:p>
        </w:tc>
        <w:tc>
          <w:tcPr>
            <w:tcW w:w="7560" w:type="dxa"/>
            <w:tcMar>
              <w:top w:w="15" w:type="dxa"/>
              <w:left w:w="15" w:type="dxa"/>
              <w:right w:w="15" w:type="dxa"/>
            </w:tcMar>
            <w:vAlign w:val="center"/>
          </w:tcPr>
          <w:p w:rsidR="00CC115E" w:rsidRPr="00F141E6" w:rsidRDefault="005875F0">
            <w:pPr>
              <w:adjustRightInd w:val="0"/>
              <w:snapToGrid w:val="0"/>
              <w:spacing w:line="240" w:lineRule="exact"/>
              <w:ind w:firstLineChars="200" w:firstLine="420"/>
              <w:rPr>
                <w:rFonts w:ascii="宋体" w:cs="宋体"/>
                <w:color w:val="000000" w:themeColor="text1"/>
                <w:szCs w:val="21"/>
              </w:rPr>
            </w:pPr>
            <w:r w:rsidRPr="00F141E6">
              <w:rPr>
                <w:rFonts w:ascii="宋体" w:hint="eastAsia"/>
                <w:color w:val="000000" w:themeColor="text1"/>
                <w:szCs w:val="21"/>
              </w:rPr>
              <w:t>《机电产品国际招标投标实施办法（试行）》（商务部令2014年第1号）第九十三条 招标人对依法必须进行招标的项目不招标或化整为零以及以其他任何方式规避国际招标的，由相应主管部门责令限期改正，可以</w:t>
            </w:r>
            <w:proofErr w:type="gramStart"/>
            <w:r w:rsidRPr="00F141E6">
              <w:rPr>
                <w:rFonts w:ascii="宋体" w:hint="eastAsia"/>
                <w:color w:val="000000" w:themeColor="text1"/>
                <w:szCs w:val="21"/>
              </w:rPr>
              <w:t>处项目</w:t>
            </w:r>
            <w:proofErr w:type="gramEnd"/>
            <w:r w:rsidRPr="00F141E6">
              <w:rPr>
                <w:rFonts w:ascii="宋体" w:hint="eastAsia"/>
                <w:color w:val="000000" w:themeColor="text1"/>
                <w:szCs w:val="21"/>
              </w:rPr>
              <w:t>合同金额0.5%以上1%以下的罚款；对全部或者部分使用国有资金的项目，可以通告项目主管机构暂停项目执行或者暂停资金拨付；对单位直接负责的主管人员和其他直接责任人员依法给予处分。</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机电产品招标人</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山东省商务厅外贸处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8359"/>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机电产品招标人在招投标过程中有违公平，违规操作相关行为的处罚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《机电产品国际招标投标实施办法（试行）》（商务部令2014年第1号） 第九十四条 招标人有下列行为之一的，依照招标投标法、招标投标法实施条例的有关规定处罚： （一）依法应当公开招标而采用邀请招标的； （二）以不合理的条件限制、排斥潜在投标人的，对潜在投标人实行歧视待遇的，强制要求投标人组成联合体共同投标的，或者限制投标人之间竞争的； （三）招标文件、资格预审文件的发售、澄清、修改的时限，或者确定的提交资格预审申请文件、投标文件的时限不符合规定的； （四）不按照规定组建评标委员会，或者确定、更换评标委员会成员违反规定的； （五）接受未通过资格预审的单位或者个人参加投标，或者接受应当拒收的投标文件的；（六）违反规定，在确定中标人前与投标人就投标价格、投标方案等实质性内容进行谈判的； （七）不按照规定确定中标人的； （八）不按照规定对异议</w:t>
            </w:r>
            <w:proofErr w:type="gramStart"/>
            <w:r w:rsidRPr="00F141E6">
              <w:rPr>
                <w:rFonts w:ascii="宋体" w:hint="eastAsia"/>
                <w:color w:val="000000" w:themeColor="text1"/>
                <w:szCs w:val="21"/>
              </w:rPr>
              <w:t>作出</w:t>
            </w:r>
            <w:proofErr w:type="gramEnd"/>
            <w:r w:rsidRPr="00F141E6">
              <w:rPr>
                <w:rFonts w:ascii="宋体" w:hint="eastAsia"/>
                <w:color w:val="000000" w:themeColor="text1"/>
                <w:szCs w:val="21"/>
              </w:rPr>
              <w:t>答复，继续进行招标投标活动的； （九）无正当理由不发出中标通知书，或者中标通知书发出后无正当理由改变中标结果的； （十）无正当理由不与中标人订立合同，或者在订立合同时向中标人提出附加条件的； （十一）不按照招标文件和中标人的投标文件与中标人订立合同，或者与中标人订立背离合同实质性内容的协议的； （十二）向他人透露已获取招标文件的潜在投标人的名称、数量或者可能影响公平竞争的有关招标投标的其他情况的，或者泄露标底的。</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机电产品招标人</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山东省商务厅外贸处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4557"/>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机电产品招标人在招投标之前和之后的过程中违规操作相关行为的处罚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《机电产品国际招标投标实施办法（试行）》（商务部令2014年第1号）第九十五条 招标人有下列行为之一的，给予警告，并处3万元以下罚款；该行为影响到评标结果的公正性的，当次招标无效： （一）与投标人相互串通、虚假招标投标的； （二）以不正当手段干扰招标投标活动的； （三）不履行与中标人订立的合同的； （四）除本办法第九十四条第十二项所</w:t>
            </w:r>
            <w:proofErr w:type="gramStart"/>
            <w:r w:rsidRPr="00F141E6">
              <w:rPr>
                <w:rFonts w:ascii="宋体" w:hint="eastAsia"/>
                <w:color w:val="000000" w:themeColor="text1"/>
                <w:szCs w:val="21"/>
              </w:rPr>
              <w:t>列行</w:t>
            </w:r>
            <w:proofErr w:type="gramEnd"/>
            <w:r w:rsidRPr="00F141E6">
              <w:rPr>
                <w:rFonts w:ascii="宋体" w:hint="eastAsia"/>
                <w:color w:val="000000" w:themeColor="text1"/>
                <w:szCs w:val="21"/>
              </w:rPr>
              <w:t>为外，其他泄漏应当保密的与招标投标活动有关的情况、材料或信息的； （五）对主管部门的投诉处理决定拒不执行的； （六）其他违反招标投标法、招标投标法实施条例和本办法的行为。</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机电产品招标人</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山东省商务厅外贸处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向社会</w:t>
            </w:r>
          </w:p>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公开</w:t>
            </w:r>
          </w:p>
        </w:tc>
      </w:tr>
      <w:tr w:rsidR="00CC115E" w:rsidRPr="00F141E6">
        <w:trPr>
          <w:trHeight w:val="3859"/>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机电产品投标人串通投标等违反招标投标法、招标投标法实施条例行为的处罚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《机电产品国际招标投标实施办法（试行）》（商务部令2014年第1号）第九十六条 投标人有下列行为之一的，依照招标投标法、招标投标法实施条例的有关规定处罚：（一）与其他投标人或者与招标人相互串通投标的；（二）以向招标人或者评标委员会成员行贿的手段谋取中标的；（三）以他人名义投标或者以其他方式弄虚作假，骗取中标的；（四）捏造事实、伪造材料或者以非法手段取得证明材料进行投诉的。有前款所</w:t>
            </w:r>
            <w:proofErr w:type="gramStart"/>
            <w:r w:rsidRPr="00F141E6">
              <w:rPr>
                <w:rFonts w:ascii="宋体" w:hint="eastAsia"/>
                <w:color w:val="000000" w:themeColor="text1"/>
                <w:szCs w:val="21"/>
              </w:rPr>
              <w:t>列行</w:t>
            </w:r>
            <w:proofErr w:type="gramEnd"/>
            <w:r w:rsidRPr="00F141E6">
              <w:rPr>
                <w:rFonts w:ascii="宋体" w:hint="eastAsia"/>
                <w:color w:val="000000" w:themeColor="text1"/>
                <w:szCs w:val="21"/>
              </w:rPr>
              <w:t>为的投标人不得参与该项目的重新招标。</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机电产品投标人</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山东省商务厅外贸处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向社会公开</w:t>
            </w:r>
          </w:p>
        </w:tc>
      </w:tr>
      <w:tr w:rsidR="00CC115E" w:rsidRPr="00F141E6">
        <w:trPr>
          <w:trHeight w:val="4935"/>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机电产品投标人在投标过程中违规行为的处罚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《机电产品国际招标投标实施办法（试行）》（商务部令2014年第1号）第九十七条 投标人有下列行为之一的，当次投标无效，并给予警告，并处3万元以下罚款： （一）虚假招标投标的； （二）以不正当手段干扰招标、评标工作的； （三）投标文件及澄清资料与事实不符，弄虚作假的； （四）在投诉处理过程中，提供虚假证明材料的； （五）中标通知书发出之前与招标人签订合同的； （六）中标的投标人不按照其投标文件和招标文件与招标人签订合同的或提供的产品不符合投标文件的； （七）其他违反招标投标法、招标投标法实施条例和本办法的行为。有前款所</w:t>
            </w:r>
            <w:proofErr w:type="gramStart"/>
            <w:r w:rsidRPr="00F141E6">
              <w:rPr>
                <w:rFonts w:ascii="宋体" w:hint="eastAsia"/>
                <w:color w:val="000000" w:themeColor="text1"/>
                <w:szCs w:val="21"/>
              </w:rPr>
              <w:t>列行</w:t>
            </w:r>
            <w:proofErr w:type="gramEnd"/>
            <w:r w:rsidRPr="00F141E6">
              <w:rPr>
                <w:rFonts w:ascii="宋体" w:hint="eastAsia"/>
                <w:color w:val="000000" w:themeColor="text1"/>
                <w:szCs w:val="21"/>
              </w:rPr>
              <w:t>为的投标人不得参与该项目的重新招标。</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机电产品投标人</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山东省商务厅外贸处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向社会公开</w:t>
            </w:r>
          </w:p>
        </w:tc>
      </w:tr>
      <w:tr w:rsidR="00CC115E" w:rsidRPr="00F141E6">
        <w:trPr>
          <w:trHeight w:val="3313"/>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 xml:space="preserve">机电产品中标人相关违规行为的处罚 </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《机电产品国际招标投标实施办法（试行）》（商务部令2014年第1号）第九十八条 中标人有下列行为之一的，依照招标投标法、招标投标法实施条例的有关规定处罚： （一）无正当理由不与招标人订立合同的，或者在签订合同时向招标人提出附加条件的； （二）不按照招标文件要求提交履约保证金的； （三）不履行与招标人订立的合同的。有前款所</w:t>
            </w:r>
            <w:proofErr w:type="gramStart"/>
            <w:r w:rsidRPr="00F141E6">
              <w:rPr>
                <w:rFonts w:ascii="宋体" w:hint="eastAsia"/>
                <w:color w:val="000000" w:themeColor="text1"/>
                <w:szCs w:val="21"/>
              </w:rPr>
              <w:t>列行</w:t>
            </w:r>
            <w:proofErr w:type="gramEnd"/>
            <w:r w:rsidRPr="00F141E6">
              <w:rPr>
                <w:rFonts w:ascii="宋体" w:hint="eastAsia"/>
                <w:color w:val="000000" w:themeColor="text1"/>
                <w:szCs w:val="21"/>
              </w:rPr>
              <w:t>为的投标人不得参与该项目的重新招标。</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中标人</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山东省商务厅外贸处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向社会公开</w:t>
            </w:r>
          </w:p>
        </w:tc>
      </w:tr>
      <w:tr w:rsidR="00CC115E" w:rsidRPr="00F141E6">
        <w:trPr>
          <w:trHeight w:val="8429"/>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olor w:val="000000" w:themeColor="text1"/>
                <w:szCs w:val="21"/>
              </w:rPr>
            </w:pPr>
            <w:r w:rsidRPr="00F141E6">
              <w:rPr>
                <w:rFonts w:ascii="宋体" w:hint="eastAsia"/>
                <w:color w:val="000000" w:themeColor="text1"/>
                <w:szCs w:val="21"/>
              </w:rPr>
              <w:t>机电产品招标机构违反招标投标法、招标实施条例规定及有违公平，违规操作相关行为的处罚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《机电产品国际招标投标实施办法（试行）》（商务部令2014年第1号）第九十九条 招标机构有下列行为之一的，依照招标投标法、招标投标法实施条例的有关规定处罚： （一）与招标人、投标人串通损害国家利益、社会公共利益或者他人合法权益的； （二）在所代理的招标项目中投标、代理投标或者向该项目投标人提供咨询的； （三）参加受托编制标底项目的投标或者为该项目的投标人编制投标文件、提供咨询的； （四）泄漏应当保密的与招标投标活动有关的情况和资料的。        第一百条 招标机构有下列行为之一的，给予警告，并处3万元以下罚款；该行为影响到整个招标公正性的，当次招标无效： （一）与招标人、投标人相互串通、搞虚假招标投标的； （二）在进行机电产品国际招标机构登记时填写虚假信息或提供虚假证明材料的； （三）无故废弃随机抽取的评审专家的； （四）不按照规定及时向主管部门报送材料或者向主管部门提供虚假材料的； （五）未在规定的时间内将招标投标情况及其相关数据上传招标网，或者在招标网上发布、公示或存档的内容与招标公告、招标文件、投标文件、评标报告等相应书面内容存在实质性不符的； （六）不按照本办法规定对异议</w:t>
            </w:r>
            <w:proofErr w:type="gramStart"/>
            <w:r w:rsidRPr="00F141E6">
              <w:rPr>
                <w:rFonts w:ascii="宋体" w:hint="eastAsia"/>
                <w:color w:val="000000" w:themeColor="text1"/>
                <w:szCs w:val="21"/>
              </w:rPr>
              <w:t>作出</w:t>
            </w:r>
            <w:proofErr w:type="gramEnd"/>
            <w:r w:rsidRPr="00F141E6">
              <w:rPr>
                <w:rFonts w:ascii="宋体" w:hint="eastAsia"/>
                <w:color w:val="000000" w:themeColor="text1"/>
                <w:szCs w:val="21"/>
              </w:rPr>
              <w:t>答复的，或者在投诉处理的过程中未按照主管部门要求予以配合的； （七）因招标机构的过失，投诉处理结果为招标无效或中标无效，6个月内累计2次，或一年内累计3次的； （八）不按照本办法规定发出中标通知书或者擅自变更中标结果的； （九）其他违反招标投标法、招标投标法实施条例和本办法的行为。</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hint="eastAsia"/>
                <w:color w:val="000000" w:themeColor="text1"/>
                <w:szCs w:val="21"/>
              </w:rPr>
              <w:t>机电产品国际招标机构</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山东省商务厅外贸处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向社会公开</w:t>
            </w:r>
          </w:p>
        </w:tc>
      </w:tr>
      <w:tr w:rsidR="00CC115E" w:rsidRPr="00F141E6">
        <w:trPr>
          <w:trHeight w:val="2160"/>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olor w:val="000000" w:themeColor="text1"/>
                <w:szCs w:val="21"/>
              </w:rPr>
            </w:pPr>
            <w:r w:rsidRPr="00F141E6">
              <w:rPr>
                <w:rFonts w:ascii="宋体" w:cs="宋体" w:hint="eastAsia"/>
                <w:color w:val="000000" w:themeColor="text1"/>
                <w:szCs w:val="21"/>
              </w:rPr>
              <w:lastRenderedPageBreak/>
              <w:t>行政处罚</w:t>
            </w:r>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机电产品国际招投标评标委员会成员有关违规行为的处罚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《机电产品国际招标投标实施办法（试行）》（商务部令2014年第1号） 第一百零一条 评标委员会成员有下列行为之一的，依照招标投标法、招标投标法实施条例的有关规定处罚：（一）应当回避而不回避的；（二）擅离职守的；（三）不按照招标文件规定的评标方法和标准评标的；（四）私下接触投标人的； （五）向招标人征询确定中标人的意向或者接受任何单位或者个人明示或者暗示提出的倾向或者排斥特定投标人的要求的；（六）暗示或者诱导投标人</w:t>
            </w:r>
            <w:proofErr w:type="gramStart"/>
            <w:r w:rsidRPr="00F141E6">
              <w:rPr>
                <w:rFonts w:ascii="宋体" w:hint="eastAsia"/>
                <w:color w:val="000000" w:themeColor="text1"/>
                <w:szCs w:val="21"/>
              </w:rPr>
              <w:t>作出</w:t>
            </w:r>
            <w:proofErr w:type="gramEnd"/>
            <w:r w:rsidRPr="00F141E6">
              <w:rPr>
                <w:rFonts w:ascii="宋体" w:hint="eastAsia"/>
                <w:color w:val="000000" w:themeColor="text1"/>
                <w:szCs w:val="21"/>
              </w:rPr>
              <w:t>澄清、说明或者接受投标人主动提出的澄清、说明的； （七）对依法应当否决的投标不提出否决意见的； （八）向他人透露对投标文件的评审和比较、中标候选人的推荐以及与评标有关的其他情况的。</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评标委员会成员</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山东省商务厅外贸处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向社会公开</w:t>
            </w:r>
          </w:p>
        </w:tc>
      </w:tr>
      <w:tr w:rsidR="00CC115E" w:rsidRPr="00F141E6">
        <w:trPr>
          <w:trHeight w:val="2460"/>
          <w:jc w:val="center"/>
        </w:trPr>
        <w:tc>
          <w:tcPr>
            <w:tcW w:w="82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cs="宋体" w:hint="eastAsia"/>
                <w:color w:val="000000" w:themeColor="text1"/>
                <w:szCs w:val="21"/>
              </w:rPr>
              <w:t>行政处罚</w:t>
            </w:r>
            <w:bookmarkStart w:id="0" w:name="_GoBack"/>
            <w:bookmarkEnd w:id="0"/>
          </w:p>
        </w:tc>
        <w:tc>
          <w:tcPr>
            <w:tcW w:w="1980" w:type="dxa"/>
            <w:tcMar>
              <w:top w:w="15" w:type="dxa"/>
              <w:left w:w="15" w:type="dxa"/>
              <w:right w:w="15" w:type="dxa"/>
            </w:tcMar>
            <w:vAlign w:val="center"/>
          </w:tcPr>
          <w:p w:rsidR="00CC115E" w:rsidRPr="00F141E6" w:rsidRDefault="005875F0">
            <w:pPr>
              <w:adjustRightInd w:val="0"/>
              <w:snapToGrid w:val="0"/>
              <w:rPr>
                <w:rFonts w:ascii="宋体" w:cs="宋体"/>
                <w:color w:val="000000" w:themeColor="text1"/>
                <w:szCs w:val="21"/>
              </w:rPr>
            </w:pPr>
            <w:r w:rsidRPr="00F141E6">
              <w:rPr>
                <w:rFonts w:ascii="宋体" w:hint="eastAsia"/>
                <w:color w:val="000000" w:themeColor="text1"/>
                <w:szCs w:val="21"/>
              </w:rPr>
              <w:t>机电产品国际招投标过程中，出让或者出租资格、资质证书供他人投标行为的处罚</w:t>
            </w:r>
          </w:p>
        </w:tc>
        <w:tc>
          <w:tcPr>
            <w:tcW w:w="7560" w:type="dxa"/>
            <w:tcMar>
              <w:top w:w="15" w:type="dxa"/>
              <w:left w:w="15" w:type="dxa"/>
              <w:right w:w="15" w:type="dxa"/>
            </w:tcMar>
            <w:vAlign w:val="center"/>
          </w:tcPr>
          <w:p w:rsidR="00CC115E" w:rsidRPr="00F141E6" w:rsidRDefault="005875F0">
            <w:pPr>
              <w:adjustRightInd w:val="0"/>
              <w:snapToGrid w:val="0"/>
              <w:ind w:firstLineChars="200" w:firstLine="420"/>
              <w:rPr>
                <w:rFonts w:ascii="宋体" w:cs="宋体"/>
                <w:color w:val="000000" w:themeColor="text1"/>
                <w:szCs w:val="21"/>
              </w:rPr>
            </w:pPr>
            <w:r w:rsidRPr="00F141E6">
              <w:rPr>
                <w:rFonts w:ascii="宋体" w:hint="eastAsia"/>
                <w:color w:val="000000" w:themeColor="text1"/>
                <w:szCs w:val="21"/>
              </w:rPr>
              <w:t>《机电产品国际招标投标实施办法（试行）》（商务部令2014年第1号）第一百零七条 出让或者出租资格、资质证书供他人投标的，依照法律、行政法规的规定给予行政处罚；构成犯罪的，依法追究刑事责任。</w:t>
            </w:r>
          </w:p>
        </w:tc>
        <w:tc>
          <w:tcPr>
            <w:tcW w:w="138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有机电产品投标的资格和有资质证书的人员</w:t>
            </w:r>
          </w:p>
        </w:tc>
        <w:tc>
          <w:tcPr>
            <w:tcW w:w="1185"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山东省商务厅外贸处</w:t>
            </w:r>
          </w:p>
        </w:tc>
        <w:tc>
          <w:tcPr>
            <w:tcW w:w="1500" w:type="dxa"/>
            <w:tcMar>
              <w:top w:w="15" w:type="dxa"/>
              <w:left w:w="15" w:type="dxa"/>
              <w:right w:w="15" w:type="dxa"/>
            </w:tcMar>
            <w:vAlign w:val="center"/>
          </w:tcPr>
          <w:p w:rsidR="00CC115E" w:rsidRPr="00F141E6" w:rsidRDefault="005875F0">
            <w:pPr>
              <w:adjustRightInd w:val="0"/>
              <w:snapToGrid w:val="0"/>
              <w:jc w:val="center"/>
              <w:rPr>
                <w:rFonts w:ascii="宋体" w:cs="宋体"/>
                <w:color w:val="000000" w:themeColor="text1"/>
                <w:szCs w:val="21"/>
              </w:rPr>
            </w:pPr>
            <w:r w:rsidRPr="00F141E6">
              <w:rPr>
                <w:rFonts w:ascii="宋体" w:hint="eastAsia"/>
                <w:color w:val="000000" w:themeColor="text1"/>
                <w:szCs w:val="21"/>
              </w:rPr>
              <w:t>向社会公开</w:t>
            </w:r>
          </w:p>
        </w:tc>
      </w:tr>
    </w:tbl>
    <w:p w:rsidR="00CC115E" w:rsidRPr="00F141E6" w:rsidRDefault="00CC115E">
      <w:pPr>
        <w:rPr>
          <w:color w:val="000000" w:themeColor="text1"/>
        </w:rPr>
      </w:pPr>
    </w:p>
    <w:p w:rsidR="00CC115E" w:rsidRPr="00F141E6" w:rsidRDefault="00CC115E">
      <w:pPr>
        <w:rPr>
          <w:color w:val="000000" w:themeColor="text1"/>
        </w:rPr>
      </w:pPr>
    </w:p>
    <w:sectPr w:rsidR="00CC115E" w:rsidRPr="00F141E6" w:rsidSect="00CC115E">
      <w:headerReference w:type="default" r:id="rId8"/>
      <w:footerReference w:type="even" r:id="rId9"/>
      <w:footerReference w:type="default" r:id="rId10"/>
      <w:pgSz w:w="16838" w:h="11906" w:orient="landscape"/>
      <w:pgMar w:top="1134" w:right="1134" w:bottom="1134" w:left="1134" w:header="851" w:footer="851" w:gutter="0"/>
      <w:pgNumType w:start="1154"/>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471" w:rsidRDefault="00085471" w:rsidP="00CC115E">
      <w:r>
        <w:separator/>
      </w:r>
    </w:p>
  </w:endnote>
  <w:endnote w:type="continuationSeparator" w:id="0">
    <w:p w:rsidR="00085471" w:rsidRDefault="00085471" w:rsidP="00CC1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5E" w:rsidRDefault="00FC6BDC">
    <w:pPr>
      <w:pStyle w:val="a3"/>
      <w:framePr w:wrap="around" w:vAnchor="text" w:hAnchor="margin" w:xAlign="center" w:y="1"/>
      <w:rPr>
        <w:rStyle w:val="a7"/>
      </w:rPr>
    </w:pPr>
    <w:r>
      <w:fldChar w:fldCharType="begin"/>
    </w:r>
    <w:r w:rsidR="005875F0">
      <w:rPr>
        <w:rStyle w:val="a7"/>
      </w:rPr>
      <w:instrText xml:space="preserve">PAGE  </w:instrText>
    </w:r>
    <w:r>
      <w:fldChar w:fldCharType="separate"/>
    </w:r>
    <w:r w:rsidR="005875F0">
      <w:rPr>
        <w:rStyle w:val="a7"/>
      </w:rPr>
      <w:t xml:space="preserve"> </w:t>
    </w:r>
    <w:r>
      <w:fldChar w:fldCharType="end"/>
    </w:r>
  </w:p>
  <w:p w:rsidR="00CC115E" w:rsidRDefault="00CC115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5E" w:rsidRDefault="005875F0">
    <w:pPr>
      <w:pStyle w:val="a3"/>
      <w:framePr w:wrap="around" w:vAnchor="text" w:hAnchor="margin" w:xAlign="center" w:y="1"/>
      <w:rPr>
        <w:rStyle w:val="a7"/>
        <w:sz w:val="21"/>
        <w:szCs w:val="21"/>
      </w:rPr>
    </w:pPr>
    <w:r>
      <w:rPr>
        <w:rStyle w:val="a7"/>
        <w:rFonts w:hint="eastAsia"/>
        <w:sz w:val="21"/>
        <w:szCs w:val="21"/>
      </w:rPr>
      <w:t>—</w:t>
    </w:r>
    <w:r>
      <w:rPr>
        <w:rStyle w:val="a7"/>
        <w:rFonts w:hint="eastAsia"/>
        <w:sz w:val="21"/>
        <w:szCs w:val="21"/>
      </w:rPr>
      <w:t xml:space="preserve"> </w:t>
    </w:r>
    <w:r w:rsidR="00FC6BDC">
      <w:rPr>
        <w:sz w:val="21"/>
        <w:szCs w:val="21"/>
      </w:rPr>
      <w:fldChar w:fldCharType="begin"/>
    </w:r>
    <w:r>
      <w:rPr>
        <w:rStyle w:val="a7"/>
        <w:sz w:val="21"/>
        <w:szCs w:val="21"/>
      </w:rPr>
      <w:instrText xml:space="preserve">PAGE  </w:instrText>
    </w:r>
    <w:r w:rsidR="00FC6BDC">
      <w:rPr>
        <w:sz w:val="21"/>
        <w:szCs w:val="21"/>
      </w:rPr>
      <w:fldChar w:fldCharType="separate"/>
    </w:r>
    <w:r w:rsidR="00FE16E5">
      <w:rPr>
        <w:rStyle w:val="a7"/>
        <w:noProof/>
        <w:sz w:val="21"/>
        <w:szCs w:val="21"/>
      </w:rPr>
      <w:t>1164</w:t>
    </w:r>
    <w:r w:rsidR="00FC6BDC">
      <w:rPr>
        <w:sz w:val="21"/>
        <w:szCs w:val="21"/>
      </w:rPr>
      <w:fldChar w:fldCharType="end"/>
    </w:r>
    <w:r>
      <w:rPr>
        <w:rStyle w:val="a7"/>
        <w:rFonts w:hint="eastAsia"/>
        <w:sz w:val="21"/>
        <w:szCs w:val="21"/>
      </w:rPr>
      <w:t xml:space="preserve"> </w:t>
    </w:r>
    <w:r>
      <w:rPr>
        <w:rStyle w:val="a7"/>
        <w:rFonts w:hint="eastAsia"/>
        <w:sz w:val="21"/>
        <w:szCs w:val="21"/>
      </w:rPr>
      <w:t>—</w:t>
    </w:r>
  </w:p>
  <w:p w:rsidR="00CC115E" w:rsidRDefault="00CC115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471" w:rsidRDefault="00085471" w:rsidP="00CC115E">
      <w:r>
        <w:separator/>
      </w:r>
    </w:p>
  </w:footnote>
  <w:footnote w:type="continuationSeparator" w:id="0">
    <w:p w:rsidR="00085471" w:rsidRDefault="00085471" w:rsidP="00CC1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5E" w:rsidRDefault="00CC115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5D9D2"/>
    <w:multiLevelType w:val="singleLevel"/>
    <w:tmpl w:val="1BB5D9D2"/>
    <w:lvl w:ilvl="0">
      <w:start w:val="1"/>
      <w:numFmt w:val="decimal"/>
      <w:lvlText w:val="%1."/>
      <w:lvlJc w:val="left"/>
      <w:pPr>
        <w:tabs>
          <w:tab w:val="left" w:pos="312"/>
        </w:tabs>
      </w:pPr>
    </w:lvl>
  </w:abstractNum>
  <w:abstractNum w:abstractNumId="1">
    <w:nsid w:val="3BFE4E39"/>
    <w:multiLevelType w:val="singleLevel"/>
    <w:tmpl w:val="3BFE4E39"/>
    <w:lvl w:ilvl="0">
      <w:start w:val="1"/>
      <w:numFmt w:val="decimal"/>
      <w:lvlText w:val="%1."/>
      <w:lvlJc w:val="left"/>
      <w:pPr>
        <w:tabs>
          <w:tab w:val="left" w:pos="312"/>
        </w:tabs>
        <w:ind w:left="40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5F11937"/>
    <w:rsid w:val="00085471"/>
    <w:rsid w:val="005875F0"/>
    <w:rsid w:val="00CC115E"/>
    <w:rsid w:val="00F141E6"/>
    <w:rsid w:val="00FC6BDC"/>
    <w:rsid w:val="00FE16E5"/>
    <w:rsid w:val="02FD317A"/>
    <w:rsid w:val="03A444AB"/>
    <w:rsid w:val="05F11937"/>
    <w:rsid w:val="08E90E98"/>
    <w:rsid w:val="0A5526BF"/>
    <w:rsid w:val="0E2063AA"/>
    <w:rsid w:val="159A3476"/>
    <w:rsid w:val="15BE0383"/>
    <w:rsid w:val="181777F5"/>
    <w:rsid w:val="20715EF2"/>
    <w:rsid w:val="234D47E0"/>
    <w:rsid w:val="27534194"/>
    <w:rsid w:val="281A3D2A"/>
    <w:rsid w:val="2AF37F7A"/>
    <w:rsid w:val="2B276AF9"/>
    <w:rsid w:val="2EAE19A5"/>
    <w:rsid w:val="2F073FE1"/>
    <w:rsid w:val="316803B8"/>
    <w:rsid w:val="33A71560"/>
    <w:rsid w:val="448E14A4"/>
    <w:rsid w:val="4BEB203C"/>
    <w:rsid w:val="53EF38B1"/>
    <w:rsid w:val="5BBA418C"/>
    <w:rsid w:val="61DD6D85"/>
    <w:rsid w:val="6D535020"/>
    <w:rsid w:val="74243429"/>
    <w:rsid w:val="7B5316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11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C115E"/>
    <w:pPr>
      <w:tabs>
        <w:tab w:val="center" w:pos="4153"/>
        <w:tab w:val="right" w:pos="8306"/>
      </w:tabs>
      <w:snapToGrid w:val="0"/>
      <w:jc w:val="left"/>
    </w:pPr>
    <w:rPr>
      <w:sz w:val="18"/>
      <w:szCs w:val="18"/>
    </w:rPr>
  </w:style>
  <w:style w:type="paragraph" w:styleId="a4">
    <w:name w:val="header"/>
    <w:basedOn w:val="a"/>
    <w:qFormat/>
    <w:rsid w:val="00CC115E"/>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C115E"/>
    <w:pPr>
      <w:spacing w:beforeAutospacing="1" w:afterAutospacing="1"/>
      <w:jc w:val="left"/>
    </w:pPr>
    <w:rPr>
      <w:kern w:val="0"/>
      <w:sz w:val="24"/>
    </w:rPr>
  </w:style>
  <w:style w:type="character" w:styleId="a6">
    <w:name w:val="Strong"/>
    <w:basedOn w:val="a0"/>
    <w:qFormat/>
    <w:rsid w:val="00CC115E"/>
    <w:rPr>
      <w:b/>
    </w:rPr>
  </w:style>
  <w:style w:type="character" w:styleId="a7">
    <w:name w:val="page number"/>
    <w:basedOn w:val="a0"/>
    <w:qFormat/>
    <w:rsid w:val="00CC115E"/>
  </w:style>
  <w:style w:type="character" w:styleId="a8">
    <w:name w:val="FollowedHyperlink"/>
    <w:basedOn w:val="a0"/>
    <w:qFormat/>
    <w:rsid w:val="00CC115E"/>
    <w:rPr>
      <w:color w:val="000000"/>
      <w:u w:val="none"/>
    </w:rPr>
  </w:style>
  <w:style w:type="character" w:styleId="a9">
    <w:name w:val="Emphasis"/>
    <w:basedOn w:val="a0"/>
    <w:qFormat/>
    <w:rsid w:val="00CC115E"/>
  </w:style>
  <w:style w:type="character" w:styleId="aa">
    <w:name w:val="Hyperlink"/>
    <w:basedOn w:val="a0"/>
    <w:qFormat/>
    <w:rsid w:val="00CC115E"/>
    <w:rPr>
      <w:color w:val="000000"/>
      <w:u w:val="none"/>
    </w:rPr>
  </w:style>
  <w:style w:type="character" w:customStyle="1" w:styleId="more">
    <w:name w:val="more"/>
    <w:basedOn w:val="a0"/>
    <w:qFormat/>
    <w:rsid w:val="00CC115E"/>
    <w:rPr>
      <w:color w:val="666666"/>
      <w:sz w:val="18"/>
      <w:szCs w:val="18"/>
    </w:rPr>
  </w:style>
  <w:style w:type="character" w:customStyle="1" w:styleId="bg01">
    <w:name w:val="bg01"/>
    <w:basedOn w:val="a0"/>
    <w:qFormat/>
    <w:rsid w:val="00CC115E"/>
  </w:style>
  <w:style w:type="character" w:customStyle="1" w:styleId="tabg">
    <w:name w:val="tabg"/>
    <w:basedOn w:val="a0"/>
    <w:qFormat/>
    <w:rsid w:val="00CC115E"/>
    <w:rPr>
      <w:rFonts w:ascii="微软雅黑" w:eastAsia="微软雅黑" w:hAnsi="微软雅黑" w:cs="微软雅黑"/>
      <w:color w:val="FFFFFF"/>
      <w:sz w:val="27"/>
      <w:szCs w:val="27"/>
    </w:rPr>
  </w:style>
  <w:style w:type="character" w:customStyle="1" w:styleId="bg02">
    <w:name w:val="bg02"/>
    <w:basedOn w:val="a0"/>
    <w:qFormat/>
    <w:rsid w:val="00CC11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18</Pages>
  <Words>1639</Words>
  <Characters>9344</Characters>
  <Application>Microsoft Office Word</Application>
  <DocSecurity>0</DocSecurity>
  <Lines>77</Lines>
  <Paragraphs>21</Paragraphs>
  <ScaleCrop>false</ScaleCrop>
  <Company/>
  <LinksUpToDate>false</LinksUpToDate>
  <CharactersWithSpaces>10962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liu</cp:lastModifiedBy>
  <cp:revision>2</cp:revision>
  <dcterms:created xsi:type="dcterms:W3CDTF">2018-12-28T06:14:00Z</dcterms:created>
  <dcterms:modified xsi:type="dcterms:W3CDTF">2018-12-28T06:14:00Z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