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D63" w:rsidRDefault="00302D63" w:rsidP="00302D63">
      <w:pPr>
        <w:pStyle w:val="a5"/>
        <w:shd w:val="clear" w:color="auto" w:fill="FFFFFF"/>
        <w:spacing w:line="615" w:lineRule="atLeast"/>
        <w:rPr>
          <w:rFonts w:ascii="黑体" w:eastAsia="黑体" w:hAnsi="黑体" w:cs="宋体"/>
          <w:kern w:val="0"/>
          <w:sz w:val="32"/>
          <w:szCs w:val="32"/>
        </w:rPr>
      </w:pPr>
      <w:r>
        <w:rPr>
          <w:rFonts w:ascii="黑体" w:eastAsia="黑体" w:hAnsi="黑体" w:cs="宋体" w:hint="eastAsia"/>
          <w:kern w:val="0"/>
          <w:sz w:val="32"/>
          <w:szCs w:val="32"/>
        </w:rPr>
        <w:t>附件</w:t>
      </w:r>
    </w:p>
    <w:p w:rsidR="00302D63" w:rsidRDefault="00302D63" w:rsidP="00302D63">
      <w:pPr>
        <w:spacing w:line="540" w:lineRule="exact"/>
        <w:rPr>
          <w:rFonts w:ascii="方正小标宋简体" w:eastAsia="方正小标宋简体" w:hAnsi="宋体" w:cs="宋体"/>
          <w:sz w:val="44"/>
          <w:szCs w:val="44"/>
        </w:rPr>
      </w:pPr>
    </w:p>
    <w:p w:rsidR="00302D63" w:rsidRDefault="00302D63" w:rsidP="00302D63">
      <w:pPr>
        <w:spacing w:line="540" w:lineRule="exact"/>
        <w:jc w:val="center"/>
        <w:rPr>
          <w:rFonts w:ascii="方正小标宋简体" w:eastAsia="方正小标宋简体" w:hAnsi="宋体" w:cs="宋体"/>
          <w:sz w:val="44"/>
          <w:szCs w:val="44"/>
        </w:rPr>
      </w:pPr>
      <w:bookmarkStart w:id="0" w:name="_GoBack"/>
      <w:bookmarkEnd w:id="0"/>
      <w:r>
        <w:rPr>
          <w:rFonts w:ascii="方正小标宋简体" w:eastAsia="方正小标宋简体" w:hAnsi="宋体" w:cs="宋体" w:hint="eastAsia"/>
          <w:sz w:val="44"/>
          <w:szCs w:val="44"/>
        </w:rPr>
        <w:t>山东省应对国际贸易摩擦工作站年度检查评估表</w:t>
      </w:r>
    </w:p>
    <w:p w:rsidR="00302D63" w:rsidRDefault="00302D63" w:rsidP="00302D63">
      <w:pPr>
        <w:spacing w:line="300" w:lineRule="exact"/>
      </w:pPr>
    </w:p>
    <w:tbl>
      <w:tblPr>
        <w:tblW w:w="13813" w:type="dxa"/>
        <w:jc w:val="center"/>
        <w:tblLayout w:type="fixed"/>
        <w:tblLook w:val="04A0"/>
      </w:tblPr>
      <w:tblGrid>
        <w:gridCol w:w="1122"/>
        <w:gridCol w:w="2055"/>
        <w:gridCol w:w="4100"/>
        <w:gridCol w:w="710"/>
        <w:gridCol w:w="5177"/>
        <w:gridCol w:w="649"/>
      </w:tblGrid>
      <w:tr w:rsidR="00302D63" w:rsidTr="006B06C7">
        <w:trPr>
          <w:trHeight w:val="397"/>
          <w:tblHeader/>
          <w:jc w:val="center"/>
        </w:trPr>
        <w:tc>
          <w:tcPr>
            <w:tcW w:w="3177" w:type="dxa"/>
            <w:gridSpan w:val="2"/>
            <w:tcBorders>
              <w:top w:val="single" w:sz="4" w:space="0" w:color="auto"/>
              <w:left w:val="single" w:sz="4" w:space="0" w:color="auto"/>
              <w:bottom w:val="single" w:sz="4" w:space="0" w:color="auto"/>
              <w:right w:val="single" w:sz="4" w:space="0" w:color="auto"/>
            </w:tcBorders>
            <w:vAlign w:val="center"/>
          </w:tcPr>
          <w:p w:rsidR="00302D63" w:rsidRDefault="00302D63" w:rsidP="006B06C7">
            <w:pPr>
              <w:spacing w:line="300" w:lineRule="exact"/>
              <w:jc w:val="center"/>
              <w:rPr>
                <w:rFonts w:ascii="宋体" w:cs="宋体"/>
                <w:b/>
                <w:bCs/>
                <w:szCs w:val="21"/>
              </w:rPr>
            </w:pPr>
            <w:r>
              <w:rPr>
                <w:rFonts w:ascii="宋体" w:hAnsi="宋体" w:cs="宋体" w:hint="eastAsia"/>
                <w:b/>
                <w:bCs/>
                <w:szCs w:val="21"/>
              </w:rPr>
              <w:t>检查评估内容</w:t>
            </w:r>
          </w:p>
        </w:tc>
        <w:tc>
          <w:tcPr>
            <w:tcW w:w="4100" w:type="dxa"/>
            <w:tcBorders>
              <w:top w:val="single" w:sz="4" w:space="0" w:color="auto"/>
              <w:left w:val="nil"/>
              <w:bottom w:val="single" w:sz="4" w:space="0" w:color="auto"/>
              <w:right w:val="single" w:sz="4" w:space="0" w:color="auto"/>
            </w:tcBorders>
            <w:vAlign w:val="center"/>
          </w:tcPr>
          <w:p w:rsidR="00302D63" w:rsidRDefault="00302D63" w:rsidP="006B06C7">
            <w:pPr>
              <w:spacing w:line="300" w:lineRule="exact"/>
              <w:jc w:val="center"/>
              <w:rPr>
                <w:rFonts w:ascii="宋体" w:cs="宋体"/>
                <w:b/>
                <w:bCs/>
                <w:szCs w:val="21"/>
              </w:rPr>
            </w:pPr>
            <w:r>
              <w:rPr>
                <w:rFonts w:ascii="宋体" w:hAnsi="宋体" w:cs="宋体" w:hint="eastAsia"/>
                <w:b/>
                <w:bCs/>
                <w:szCs w:val="21"/>
              </w:rPr>
              <w:t>具体工作</w:t>
            </w:r>
          </w:p>
        </w:tc>
        <w:tc>
          <w:tcPr>
            <w:tcW w:w="710" w:type="dxa"/>
            <w:tcBorders>
              <w:top w:val="single" w:sz="4" w:space="0" w:color="auto"/>
              <w:left w:val="nil"/>
              <w:bottom w:val="single" w:sz="4" w:space="0" w:color="auto"/>
              <w:right w:val="single" w:sz="4" w:space="0" w:color="auto"/>
            </w:tcBorders>
            <w:vAlign w:val="center"/>
          </w:tcPr>
          <w:p w:rsidR="00302D63" w:rsidRDefault="00302D63" w:rsidP="006B06C7">
            <w:pPr>
              <w:spacing w:line="300" w:lineRule="exact"/>
              <w:jc w:val="center"/>
              <w:rPr>
                <w:rFonts w:ascii="宋体" w:cs="宋体"/>
                <w:b/>
                <w:bCs/>
                <w:szCs w:val="21"/>
              </w:rPr>
            </w:pPr>
            <w:r>
              <w:rPr>
                <w:rFonts w:ascii="宋体" w:hAnsi="宋体" w:cs="宋体" w:hint="eastAsia"/>
                <w:b/>
                <w:bCs/>
                <w:szCs w:val="21"/>
              </w:rPr>
              <w:t>分值</w:t>
            </w:r>
          </w:p>
        </w:tc>
        <w:tc>
          <w:tcPr>
            <w:tcW w:w="5177" w:type="dxa"/>
            <w:tcBorders>
              <w:top w:val="single" w:sz="4" w:space="0" w:color="auto"/>
              <w:left w:val="nil"/>
              <w:bottom w:val="single" w:sz="4" w:space="0" w:color="auto"/>
              <w:right w:val="single" w:sz="4" w:space="0" w:color="auto"/>
            </w:tcBorders>
            <w:vAlign w:val="center"/>
          </w:tcPr>
          <w:p w:rsidR="00302D63" w:rsidRDefault="00302D63" w:rsidP="006B06C7">
            <w:pPr>
              <w:spacing w:line="300" w:lineRule="exact"/>
              <w:jc w:val="center"/>
              <w:rPr>
                <w:rFonts w:ascii="宋体" w:cs="宋体"/>
                <w:b/>
                <w:bCs/>
                <w:szCs w:val="21"/>
              </w:rPr>
            </w:pPr>
            <w:r>
              <w:rPr>
                <w:rFonts w:ascii="宋体" w:hAnsi="宋体" w:cs="宋体" w:hint="eastAsia"/>
                <w:b/>
                <w:bCs/>
                <w:szCs w:val="21"/>
              </w:rPr>
              <w:t>评分标准</w:t>
            </w:r>
          </w:p>
        </w:tc>
        <w:tc>
          <w:tcPr>
            <w:tcW w:w="649" w:type="dxa"/>
            <w:tcBorders>
              <w:top w:val="single" w:sz="4" w:space="0" w:color="auto"/>
              <w:left w:val="nil"/>
              <w:bottom w:val="single" w:sz="4" w:space="0" w:color="auto"/>
              <w:right w:val="single" w:sz="4" w:space="0" w:color="auto"/>
            </w:tcBorders>
            <w:vAlign w:val="center"/>
          </w:tcPr>
          <w:p w:rsidR="00302D63" w:rsidRDefault="00302D63" w:rsidP="006B06C7">
            <w:pPr>
              <w:spacing w:line="300" w:lineRule="exact"/>
              <w:jc w:val="center"/>
              <w:rPr>
                <w:rFonts w:ascii="宋体" w:cs="宋体"/>
                <w:b/>
                <w:bCs/>
                <w:szCs w:val="21"/>
              </w:rPr>
            </w:pPr>
            <w:r>
              <w:rPr>
                <w:rFonts w:ascii="宋体" w:hAnsi="宋体" w:cs="宋体" w:hint="eastAsia"/>
                <w:b/>
                <w:bCs/>
                <w:szCs w:val="21"/>
              </w:rPr>
              <w:t>得分</w:t>
            </w:r>
          </w:p>
        </w:tc>
      </w:tr>
      <w:tr w:rsidR="00302D63" w:rsidTr="006B06C7">
        <w:trPr>
          <w:trHeight w:val="397"/>
          <w:jc w:val="center"/>
        </w:trPr>
        <w:tc>
          <w:tcPr>
            <w:tcW w:w="1122" w:type="dxa"/>
            <w:vMerge w:val="restart"/>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jc w:val="center"/>
              <w:rPr>
                <w:rFonts w:ascii="宋体" w:cs="宋体"/>
                <w:szCs w:val="21"/>
              </w:rPr>
            </w:pPr>
            <w:r>
              <w:rPr>
                <w:rFonts w:ascii="宋体" w:hAnsi="宋体" w:cs="宋体" w:hint="eastAsia"/>
                <w:szCs w:val="21"/>
              </w:rPr>
              <w:t>基础分项</w:t>
            </w:r>
            <w:r>
              <w:rPr>
                <w:rFonts w:ascii="宋体" w:cs="宋体"/>
                <w:szCs w:val="21"/>
              </w:rPr>
              <w:br/>
            </w:r>
            <w:r>
              <w:rPr>
                <w:rFonts w:ascii="宋体" w:hAnsi="宋体" w:cs="宋体" w:hint="eastAsia"/>
                <w:szCs w:val="21"/>
              </w:rPr>
              <w:t>（</w:t>
            </w:r>
            <w:r>
              <w:rPr>
                <w:rFonts w:ascii="宋体" w:hAnsi="宋体" w:cs="宋体"/>
                <w:szCs w:val="21"/>
              </w:rPr>
              <w:t>100</w:t>
            </w:r>
            <w:r>
              <w:rPr>
                <w:rFonts w:ascii="宋体" w:hAnsi="宋体" w:cs="宋体" w:hint="eastAsia"/>
                <w:szCs w:val="21"/>
              </w:rPr>
              <w:t>分）</w:t>
            </w:r>
          </w:p>
        </w:tc>
        <w:tc>
          <w:tcPr>
            <w:tcW w:w="2055" w:type="dxa"/>
            <w:vMerge w:val="restart"/>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jc w:val="center"/>
              <w:rPr>
                <w:rFonts w:ascii="宋体" w:cs="宋体"/>
                <w:szCs w:val="21"/>
              </w:rPr>
            </w:pPr>
            <w:r>
              <w:rPr>
                <w:rFonts w:ascii="宋体" w:hAnsi="宋体" w:cs="宋体" w:hint="eastAsia"/>
                <w:szCs w:val="21"/>
              </w:rPr>
              <w:t>机构建设</w:t>
            </w:r>
            <w:r>
              <w:rPr>
                <w:rFonts w:ascii="宋体" w:cs="宋体"/>
                <w:szCs w:val="21"/>
              </w:rPr>
              <w:br/>
            </w:r>
            <w:r>
              <w:rPr>
                <w:rFonts w:ascii="宋体" w:hAnsi="宋体" w:cs="宋体" w:hint="eastAsia"/>
                <w:szCs w:val="21"/>
              </w:rPr>
              <w:t>（</w:t>
            </w:r>
            <w:r>
              <w:rPr>
                <w:rFonts w:ascii="宋体" w:hAnsi="宋体" w:cs="宋体"/>
                <w:szCs w:val="21"/>
              </w:rPr>
              <w:t>20</w:t>
            </w:r>
            <w:r>
              <w:rPr>
                <w:rFonts w:ascii="宋体" w:hAnsi="宋体" w:cs="宋体" w:hint="eastAsia"/>
                <w:szCs w:val="21"/>
              </w:rPr>
              <w:t>分）</w:t>
            </w:r>
          </w:p>
        </w:tc>
        <w:tc>
          <w:tcPr>
            <w:tcW w:w="4100"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设置工作站工作机构</w:t>
            </w:r>
          </w:p>
        </w:tc>
        <w:tc>
          <w:tcPr>
            <w:tcW w:w="710" w:type="dxa"/>
            <w:tcBorders>
              <w:top w:val="nil"/>
              <w:left w:val="nil"/>
              <w:bottom w:val="single" w:sz="4" w:space="0" w:color="auto"/>
              <w:right w:val="single" w:sz="4" w:space="0" w:color="auto"/>
            </w:tcBorders>
            <w:vAlign w:val="center"/>
          </w:tcPr>
          <w:p w:rsidR="00302D63" w:rsidRDefault="00302D63" w:rsidP="006B06C7">
            <w:pPr>
              <w:spacing w:line="300" w:lineRule="exact"/>
              <w:jc w:val="center"/>
              <w:rPr>
                <w:rFonts w:ascii="宋体" w:hAnsi="宋体" w:cs="宋体"/>
                <w:szCs w:val="21"/>
              </w:rPr>
            </w:pPr>
            <w:r>
              <w:rPr>
                <w:rFonts w:ascii="宋体" w:hAnsi="宋体" w:cs="宋体"/>
                <w:szCs w:val="21"/>
              </w:rPr>
              <w:t>6</w:t>
            </w:r>
          </w:p>
        </w:tc>
        <w:tc>
          <w:tcPr>
            <w:tcW w:w="5177"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设置工作机构得</w:t>
            </w:r>
            <w:r>
              <w:rPr>
                <w:rFonts w:ascii="宋体" w:hAnsi="宋体" w:cs="宋体"/>
                <w:szCs w:val="21"/>
              </w:rPr>
              <w:t>6</w:t>
            </w:r>
            <w:r>
              <w:rPr>
                <w:rFonts w:ascii="宋体" w:hAnsi="宋体" w:cs="宋体" w:hint="eastAsia"/>
                <w:szCs w:val="21"/>
              </w:rPr>
              <w:t>分，未设置不得分。</w:t>
            </w:r>
          </w:p>
        </w:tc>
        <w:tc>
          <w:tcPr>
            <w:tcW w:w="649"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 xml:space="preserve">　</w:t>
            </w:r>
          </w:p>
        </w:tc>
      </w:tr>
      <w:tr w:rsidR="00302D63" w:rsidTr="006B06C7">
        <w:trPr>
          <w:trHeight w:val="397"/>
          <w:jc w:val="center"/>
        </w:trPr>
        <w:tc>
          <w:tcPr>
            <w:tcW w:w="1122" w:type="dxa"/>
            <w:vMerge/>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rPr>
                <w:rFonts w:ascii="宋体" w:cs="宋体"/>
                <w:szCs w:val="21"/>
              </w:rPr>
            </w:pPr>
          </w:p>
        </w:tc>
        <w:tc>
          <w:tcPr>
            <w:tcW w:w="2055" w:type="dxa"/>
            <w:vMerge/>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rPr>
                <w:rFonts w:ascii="宋体" w:cs="宋体"/>
                <w:szCs w:val="21"/>
              </w:rPr>
            </w:pPr>
          </w:p>
        </w:tc>
        <w:tc>
          <w:tcPr>
            <w:tcW w:w="4100"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人员配备</w:t>
            </w:r>
          </w:p>
        </w:tc>
        <w:tc>
          <w:tcPr>
            <w:tcW w:w="710" w:type="dxa"/>
            <w:tcBorders>
              <w:top w:val="nil"/>
              <w:left w:val="nil"/>
              <w:bottom w:val="single" w:sz="4" w:space="0" w:color="auto"/>
              <w:right w:val="single" w:sz="4" w:space="0" w:color="auto"/>
            </w:tcBorders>
            <w:vAlign w:val="center"/>
          </w:tcPr>
          <w:p w:rsidR="00302D63" w:rsidRDefault="00302D63" w:rsidP="006B06C7">
            <w:pPr>
              <w:spacing w:line="300" w:lineRule="exact"/>
              <w:jc w:val="center"/>
              <w:rPr>
                <w:rFonts w:ascii="宋体" w:hAnsi="宋体" w:cs="宋体"/>
                <w:szCs w:val="21"/>
              </w:rPr>
            </w:pPr>
            <w:r>
              <w:rPr>
                <w:rFonts w:ascii="宋体" w:hAnsi="宋体" w:cs="宋体"/>
                <w:szCs w:val="21"/>
              </w:rPr>
              <w:t>7</w:t>
            </w:r>
          </w:p>
        </w:tc>
        <w:tc>
          <w:tcPr>
            <w:tcW w:w="5177"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配备专门工作人员得</w:t>
            </w:r>
            <w:r>
              <w:rPr>
                <w:rFonts w:ascii="宋体" w:hAnsi="宋体" w:cs="宋体"/>
                <w:szCs w:val="21"/>
              </w:rPr>
              <w:t>7</w:t>
            </w:r>
            <w:r>
              <w:rPr>
                <w:rFonts w:ascii="宋体" w:hAnsi="宋体" w:cs="宋体" w:hint="eastAsia"/>
                <w:szCs w:val="21"/>
              </w:rPr>
              <w:t>分，未配备不得分。</w:t>
            </w:r>
          </w:p>
        </w:tc>
        <w:tc>
          <w:tcPr>
            <w:tcW w:w="649"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 xml:space="preserve">　</w:t>
            </w:r>
          </w:p>
        </w:tc>
      </w:tr>
      <w:tr w:rsidR="00302D63" w:rsidTr="006B06C7">
        <w:trPr>
          <w:trHeight w:val="397"/>
          <w:jc w:val="center"/>
        </w:trPr>
        <w:tc>
          <w:tcPr>
            <w:tcW w:w="1122" w:type="dxa"/>
            <w:vMerge/>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rPr>
                <w:rFonts w:ascii="宋体" w:cs="宋体"/>
                <w:szCs w:val="21"/>
              </w:rPr>
            </w:pPr>
          </w:p>
        </w:tc>
        <w:tc>
          <w:tcPr>
            <w:tcW w:w="2055" w:type="dxa"/>
            <w:vMerge/>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rPr>
                <w:rFonts w:ascii="宋体" w:cs="宋体"/>
                <w:szCs w:val="21"/>
              </w:rPr>
            </w:pPr>
          </w:p>
        </w:tc>
        <w:tc>
          <w:tcPr>
            <w:tcW w:w="4100"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工作制度</w:t>
            </w:r>
          </w:p>
        </w:tc>
        <w:tc>
          <w:tcPr>
            <w:tcW w:w="710" w:type="dxa"/>
            <w:tcBorders>
              <w:top w:val="nil"/>
              <w:left w:val="nil"/>
              <w:bottom w:val="single" w:sz="4" w:space="0" w:color="auto"/>
              <w:right w:val="single" w:sz="4" w:space="0" w:color="auto"/>
            </w:tcBorders>
            <w:vAlign w:val="center"/>
          </w:tcPr>
          <w:p w:rsidR="00302D63" w:rsidRDefault="00302D63" w:rsidP="006B06C7">
            <w:pPr>
              <w:spacing w:line="300" w:lineRule="exact"/>
              <w:jc w:val="center"/>
              <w:rPr>
                <w:rFonts w:ascii="宋体" w:hAnsi="宋体" w:cs="宋体"/>
                <w:szCs w:val="21"/>
              </w:rPr>
            </w:pPr>
            <w:r>
              <w:rPr>
                <w:rFonts w:ascii="宋体" w:hAnsi="宋体" w:cs="宋体"/>
                <w:szCs w:val="21"/>
              </w:rPr>
              <w:t>7</w:t>
            </w:r>
          </w:p>
        </w:tc>
        <w:tc>
          <w:tcPr>
            <w:tcW w:w="5177"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有工作制度得</w:t>
            </w:r>
            <w:r>
              <w:rPr>
                <w:rFonts w:ascii="宋体" w:hAnsi="宋体" w:cs="宋体"/>
                <w:szCs w:val="21"/>
              </w:rPr>
              <w:t>7</w:t>
            </w:r>
            <w:r>
              <w:rPr>
                <w:rFonts w:ascii="宋体" w:hAnsi="宋体" w:cs="宋体" w:hint="eastAsia"/>
                <w:szCs w:val="21"/>
              </w:rPr>
              <w:t>分，无工作制度不得分。</w:t>
            </w:r>
          </w:p>
        </w:tc>
        <w:tc>
          <w:tcPr>
            <w:tcW w:w="649"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 xml:space="preserve">　</w:t>
            </w:r>
          </w:p>
        </w:tc>
      </w:tr>
      <w:tr w:rsidR="00302D63" w:rsidTr="006B06C7">
        <w:trPr>
          <w:trHeight w:val="397"/>
          <w:jc w:val="center"/>
        </w:trPr>
        <w:tc>
          <w:tcPr>
            <w:tcW w:w="1122" w:type="dxa"/>
            <w:vMerge/>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rPr>
                <w:rFonts w:ascii="宋体" w:cs="宋体"/>
                <w:szCs w:val="21"/>
              </w:rPr>
            </w:pPr>
          </w:p>
        </w:tc>
        <w:tc>
          <w:tcPr>
            <w:tcW w:w="2055" w:type="dxa"/>
            <w:vMerge w:val="restart"/>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jc w:val="center"/>
              <w:rPr>
                <w:rFonts w:ascii="宋体" w:cs="宋体"/>
                <w:szCs w:val="21"/>
              </w:rPr>
            </w:pPr>
            <w:r>
              <w:rPr>
                <w:rFonts w:ascii="宋体" w:hAnsi="宋体" w:cs="宋体" w:hint="eastAsia"/>
                <w:szCs w:val="21"/>
              </w:rPr>
              <w:t>预警工作</w:t>
            </w:r>
            <w:r>
              <w:rPr>
                <w:rFonts w:ascii="宋体" w:cs="宋体"/>
                <w:szCs w:val="21"/>
              </w:rPr>
              <w:br/>
            </w:r>
            <w:r>
              <w:rPr>
                <w:rFonts w:ascii="宋体" w:hAnsi="宋体" w:cs="宋体" w:hint="eastAsia"/>
                <w:szCs w:val="21"/>
              </w:rPr>
              <w:t>（</w:t>
            </w:r>
            <w:r>
              <w:rPr>
                <w:rFonts w:ascii="宋体" w:hAnsi="宋体" w:cs="宋体"/>
                <w:szCs w:val="21"/>
              </w:rPr>
              <w:t>40</w:t>
            </w:r>
            <w:r>
              <w:rPr>
                <w:rFonts w:ascii="宋体" w:hAnsi="宋体" w:cs="宋体" w:hint="eastAsia"/>
                <w:szCs w:val="21"/>
              </w:rPr>
              <w:t>分）</w:t>
            </w:r>
          </w:p>
        </w:tc>
        <w:tc>
          <w:tcPr>
            <w:tcW w:w="4100"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建立专门的贸易摩擦预警网站或在本单位官方网站开辟贸易摩擦预警专栏</w:t>
            </w:r>
          </w:p>
        </w:tc>
        <w:tc>
          <w:tcPr>
            <w:tcW w:w="710" w:type="dxa"/>
            <w:tcBorders>
              <w:top w:val="nil"/>
              <w:left w:val="nil"/>
              <w:bottom w:val="single" w:sz="4" w:space="0" w:color="auto"/>
              <w:right w:val="single" w:sz="4" w:space="0" w:color="auto"/>
            </w:tcBorders>
            <w:vAlign w:val="center"/>
          </w:tcPr>
          <w:p w:rsidR="00302D63" w:rsidRDefault="00302D63" w:rsidP="006B06C7">
            <w:pPr>
              <w:spacing w:line="300" w:lineRule="exact"/>
              <w:jc w:val="center"/>
              <w:rPr>
                <w:rFonts w:ascii="宋体" w:hAnsi="宋体" w:cs="宋体"/>
                <w:szCs w:val="21"/>
              </w:rPr>
            </w:pPr>
            <w:r>
              <w:rPr>
                <w:rFonts w:ascii="宋体" w:hAnsi="宋体" w:cs="宋体"/>
                <w:szCs w:val="21"/>
              </w:rPr>
              <w:t>8</w:t>
            </w:r>
          </w:p>
        </w:tc>
        <w:tc>
          <w:tcPr>
            <w:tcW w:w="5177"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建立网站或开辟专栏得</w:t>
            </w:r>
            <w:r>
              <w:rPr>
                <w:rFonts w:ascii="宋体" w:hAnsi="宋体" w:cs="宋体"/>
                <w:szCs w:val="21"/>
              </w:rPr>
              <w:t>8</w:t>
            </w:r>
            <w:r>
              <w:rPr>
                <w:rFonts w:ascii="宋体" w:hAnsi="宋体" w:cs="宋体" w:hint="eastAsia"/>
                <w:szCs w:val="21"/>
              </w:rPr>
              <w:t>分，无网站或专栏不得分。</w:t>
            </w:r>
          </w:p>
        </w:tc>
        <w:tc>
          <w:tcPr>
            <w:tcW w:w="649"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 xml:space="preserve">　</w:t>
            </w:r>
          </w:p>
        </w:tc>
      </w:tr>
      <w:tr w:rsidR="00302D63" w:rsidTr="006B06C7">
        <w:trPr>
          <w:trHeight w:val="397"/>
          <w:jc w:val="center"/>
        </w:trPr>
        <w:tc>
          <w:tcPr>
            <w:tcW w:w="1122" w:type="dxa"/>
            <w:vMerge/>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rPr>
                <w:rFonts w:ascii="宋体" w:cs="宋体"/>
                <w:szCs w:val="21"/>
              </w:rPr>
            </w:pPr>
          </w:p>
        </w:tc>
        <w:tc>
          <w:tcPr>
            <w:tcW w:w="2055" w:type="dxa"/>
            <w:vMerge/>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rPr>
                <w:rFonts w:ascii="宋体" w:cs="宋体"/>
                <w:szCs w:val="21"/>
              </w:rPr>
            </w:pPr>
          </w:p>
        </w:tc>
        <w:tc>
          <w:tcPr>
            <w:tcW w:w="4100"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在指定的网站发布预警信息情况</w:t>
            </w:r>
          </w:p>
        </w:tc>
        <w:tc>
          <w:tcPr>
            <w:tcW w:w="710" w:type="dxa"/>
            <w:tcBorders>
              <w:top w:val="nil"/>
              <w:left w:val="nil"/>
              <w:bottom w:val="single" w:sz="4" w:space="0" w:color="auto"/>
              <w:right w:val="single" w:sz="4" w:space="0" w:color="auto"/>
            </w:tcBorders>
            <w:vAlign w:val="center"/>
          </w:tcPr>
          <w:p w:rsidR="00302D63" w:rsidRDefault="00302D63" w:rsidP="006B06C7">
            <w:pPr>
              <w:spacing w:line="300" w:lineRule="exact"/>
              <w:jc w:val="center"/>
              <w:rPr>
                <w:rFonts w:ascii="宋体" w:hAnsi="宋体" w:cs="宋体"/>
                <w:szCs w:val="21"/>
              </w:rPr>
            </w:pPr>
            <w:r>
              <w:rPr>
                <w:rFonts w:ascii="宋体" w:hAnsi="宋体" w:cs="宋体"/>
                <w:szCs w:val="21"/>
              </w:rPr>
              <w:t>12</w:t>
            </w:r>
          </w:p>
        </w:tc>
        <w:tc>
          <w:tcPr>
            <w:tcW w:w="5177"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及时发布预警信息，月发布数量≥</w:t>
            </w:r>
            <w:r>
              <w:rPr>
                <w:rFonts w:ascii="宋体" w:hAnsi="宋体" w:cs="宋体"/>
                <w:szCs w:val="21"/>
              </w:rPr>
              <w:t>20</w:t>
            </w:r>
            <w:r>
              <w:rPr>
                <w:rFonts w:ascii="宋体" w:hAnsi="宋体" w:cs="宋体" w:hint="eastAsia"/>
                <w:szCs w:val="21"/>
              </w:rPr>
              <w:t>条，</w:t>
            </w:r>
            <w:r>
              <w:rPr>
                <w:rFonts w:ascii="宋体" w:hAnsi="宋体" w:cs="宋体"/>
                <w:szCs w:val="21"/>
              </w:rPr>
              <w:t>1</w:t>
            </w:r>
            <w:r>
              <w:rPr>
                <w:rFonts w:ascii="宋体" w:hAnsi="宋体" w:cs="宋体" w:hint="eastAsia"/>
                <w:szCs w:val="21"/>
              </w:rPr>
              <w:t>分</w:t>
            </w:r>
            <w:r>
              <w:rPr>
                <w:rFonts w:ascii="宋体" w:hAnsi="宋体" w:cs="宋体"/>
                <w:szCs w:val="21"/>
              </w:rPr>
              <w:t>/</w:t>
            </w:r>
            <w:r>
              <w:rPr>
                <w:rFonts w:ascii="宋体" w:hAnsi="宋体" w:cs="宋体" w:hint="eastAsia"/>
                <w:szCs w:val="21"/>
              </w:rPr>
              <w:t>月；</w:t>
            </w:r>
            <w:r>
              <w:rPr>
                <w:rFonts w:ascii="宋体" w:hAnsi="宋体" w:cs="宋体"/>
                <w:szCs w:val="21"/>
              </w:rPr>
              <w:t>10</w:t>
            </w:r>
            <w:r>
              <w:rPr>
                <w:rFonts w:ascii="宋体" w:hAnsi="宋体" w:cs="宋体" w:hint="eastAsia"/>
                <w:szCs w:val="21"/>
              </w:rPr>
              <w:t>条≤月发布量</w:t>
            </w:r>
            <w:r>
              <w:rPr>
                <w:rFonts w:ascii="宋体" w:hAnsi="宋体" w:cs="宋体"/>
                <w:szCs w:val="21"/>
              </w:rPr>
              <w:t>&lt;20</w:t>
            </w:r>
            <w:r>
              <w:rPr>
                <w:rFonts w:ascii="宋体" w:hAnsi="宋体" w:cs="宋体" w:hint="eastAsia"/>
                <w:szCs w:val="21"/>
              </w:rPr>
              <w:t>条，</w:t>
            </w:r>
            <w:r>
              <w:rPr>
                <w:rFonts w:ascii="宋体" w:hAnsi="宋体" w:cs="宋体"/>
                <w:szCs w:val="21"/>
              </w:rPr>
              <w:t>0.5</w:t>
            </w:r>
            <w:r>
              <w:rPr>
                <w:rFonts w:ascii="宋体" w:hAnsi="宋体" w:cs="宋体" w:hint="eastAsia"/>
                <w:szCs w:val="21"/>
              </w:rPr>
              <w:t>分</w:t>
            </w:r>
            <w:r>
              <w:rPr>
                <w:rFonts w:ascii="宋体" w:hAnsi="宋体" w:cs="宋体"/>
                <w:szCs w:val="21"/>
              </w:rPr>
              <w:t>/</w:t>
            </w:r>
            <w:r>
              <w:rPr>
                <w:rFonts w:ascii="宋体" w:hAnsi="宋体" w:cs="宋体" w:hint="eastAsia"/>
                <w:szCs w:val="21"/>
              </w:rPr>
              <w:t>月；月发布量</w:t>
            </w:r>
            <w:r>
              <w:rPr>
                <w:rFonts w:ascii="宋体" w:hAnsi="宋体" w:cs="宋体"/>
                <w:szCs w:val="21"/>
              </w:rPr>
              <w:t>&lt;10</w:t>
            </w:r>
            <w:r>
              <w:rPr>
                <w:rFonts w:ascii="宋体" w:hAnsi="宋体" w:cs="宋体" w:hint="eastAsia"/>
                <w:szCs w:val="21"/>
              </w:rPr>
              <w:t>条，不得分。</w:t>
            </w:r>
          </w:p>
        </w:tc>
        <w:tc>
          <w:tcPr>
            <w:tcW w:w="649"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 xml:space="preserve">　</w:t>
            </w:r>
          </w:p>
        </w:tc>
      </w:tr>
      <w:tr w:rsidR="00302D63" w:rsidTr="006B06C7">
        <w:trPr>
          <w:trHeight w:val="397"/>
          <w:jc w:val="center"/>
        </w:trPr>
        <w:tc>
          <w:tcPr>
            <w:tcW w:w="1122" w:type="dxa"/>
            <w:vMerge/>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rPr>
                <w:rFonts w:ascii="宋体" w:cs="宋体"/>
                <w:szCs w:val="21"/>
              </w:rPr>
            </w:pPr>
          </w:p>
        </w:tc>
        <w:tc>
          <w:tcPr>
            <w:tcW w:w="2055" w:type="dxa"/>
            <w:vMerge/>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rPr>
                <w:rFonts w:ascii="宋体" w:cs="宋体"/>
                <w:szCs w:val="21"/>
              </w:rPr>
            </w:pPr>
          </w:p>
        </w:tc>
        <w:tc>
          <w:tcPr>
            <w:tcW w:w="4100"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专题分析报告</w:t>
            </w:r>
          </w:p>
        </w:tc>
        <w:tc>
          <w:tcPr>
            <w:tcW w:w="710" w:type="dxa"/>
            <w:tcBorders>
              <w:top w:val="nil"/>
              <w:left w:val="nil"/>
              <w:bottom w:val="single" w:sz="4" w:space="0" w:color="auto"/>
              <w:right w:val="single" w:sz="4" w:space="0" w:color="auto"/>
            </w:tcBorders>
            <w:vAlign w:val="center"/>
          </w:tcPr>
          <w:p w:rsidR="00302D63" w:rsidRDefault="00302D63" w:rsidP="006B06C7">
            <w:pPr>
              <w:spacing w:line="300" w:lineRule="exact"/>
              <w:jc w:val="center"/>
              <w:rPr>
                <w:rFonts w:ascii="宋体" w:hAnsi="宋体" w:cs="宋体"/>
                <w:szCs w:val="21"/>
              </w:rPr>
            </w:pPr>
            <w:r>
              <w:rPr>
                <w:rFonts w:ascii="宋体" w:hAnsi="宋体" w:cs="宋体"/>
                <w:szCs w:val="21"/>
              </w:rPr>
              <w:t>10</w:t>
            </w:r>
          </w:p>
        </w:tc>
        <w:tc>
          <w:tcPr>
            <w:tcW w:w="5177"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独立完成得</w:t>
            </w:r>
            <w:r>
              <w:rPr>
                <w:rFonts w:ascii="宋体" w:hAnsi="宋体" w:cs="宋体"/>
                <w:szCs w:val="21"/>
              </w:rPr>
              <w:t>2</w:t>
            </w:r>
            <w:r>
              <w:rPr>
                <w:rFonts w:ascii="宋体" w:hAnsi="宋体" w:cs="宋体" w:hint="eastAsia"/>
                <w:szCs w:val="21"/>
              </w:rPr>
              <w:t>分；有真实案例数据支撑得</w:t>
            </w:r>
            <w:r>
              <w:rPr>
                <w:rFonts w:ascii="宋体" w:hAnsi="宋体" w:cs="宋体"/>
                <w:szCs w:val="21"/>
              </w:rPr>
              <w:t>2</w:t>
            </w:r>
            <w:r>
              <w:rPr>
                <w:rFonts w:ascii="宋体" w:hAnsi="宋体" w:cs="宋体" w:hint="eastAsia"/>
                <w:szCs w:val="21"/>
              </w:rPr>
              <w:t>分；反映本行业存在的问题、原因及应对措施得</w:t>
            </w:r>
            <w:r>
              <w:rPr>
                <w:rFonts w:ascii="宋体" w:hAnsi="宋体" w:cs="宋体"/>
                <w:szCs w:val="21"/>
              </w:rPr>
              <w:t>2</w:t>
            </w:r>
            <w:r>
              <w:rPr>
                <w:rFonts w:ascii="宋体" w:hAnsi="宋体" w:cs="宋体" w:hint="eastAsia"/>
                <w:szCs w:val="21"/>
              </w:rPr>
              <w:t>分；内容贴合实际、措施有操作性得</w:t>
            </w:r>
            <w:r>
              <w:rPr>
                <w:rFonts w:ascii="宋体" w:hAnsi="宋体" w:cs="宋体"/>
                <w:szCs w:val="21"/>
              </w:rPr>
              <w:t>2</w:t>
            </w:r>
            <w:r>
              <w:rPr>
                <w:rFonts w:ascii="宋体" w:hAnsi="宋体" w:cs="宋体" w:hint="eastAsia"/>
                <w:szCs w:val="21"/>
              </w:rPr>
              <w:t>分；逻辑清晰得</w:t>
            </w:r>
            <w:r>
              <w:rPr>
                <w:rFonts w:ascii="宋体" w:hAnsi="宋体" w:cs="宋体"/>
                <w:szCs w:val="21"/>
              </w:rPr>
              <w:t>2</w:t>
            </w:r>
            <w:r>
              <w:rPr>
                <w:rFonts w:ascii="宋体" w:hAnsi="宋体" w:cs="宋体" w:hint="eastAsia"/>
                <w:szCs w:val="21"/>
              </w:rPr>
              <w:t>分。</w:t>
            </w:r>
          </w:p>
        </w:tc>
        <w:tc>
          <w:tcPr>
            <w:tcW w:w="649"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 xml:space="preserve">　</w:t>
            </w:r>
          </w:p>
        </w:tc>
      </w:tr>
      <w:tr w:rsidR="00302D63" w:rsidTr="006B06C7">
        <w:trPr>
          <w:trHeight w:val="397"/>
          <w:jc w:val="center"/>
        </w:trPr>
        <w:tc>
          <w:tcPr>
            <w:tcW w:w="1122" w:type="dxa"/>
            <w:vMerge/>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rPr>
                <w:rFonts w:ascii="宋体" w:cs="宋体"/>
                <w:szCs w:val="21"/>
              </w:rPr>
            </w:pPr>
          </w:p>
        </w:tc>
        <w:tc>
          <w:tcPr>
            <w:tcW w:w="2055" w:type="dxa"/>
            <w:vMerge/>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rPr>
                <w:rFonts w:ascii="宋体" w:cs="宋体"/>
                <w:szCs w:val="21"/>
              </w:rPr>
            </w:pPr>
          </w:p>
        </w:tc>
        <w:tc>
          <w:tcPr>
            <w:tcW w:w="4100"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建立重点联系企业库</w:t>
            </w:r>
          </w:p>
        </w:tc>
        <w:tc>
          <w:tcPr>
            <w:tcW w:w="710" w:type="dxa"/>
            <w:tcBorders>
              <w:top w:val="nil"/>
              <w:left w:val="nil"/>
              <w:bottom w:val="single" w:sz="4" w:space="0" w:color="auto"/>
              <w:right w:val="single" w:sz="4" w:space="0" w:color="auto"/>
            </w:tcBorders>
            <w:vAlign w:val="center"/>
          </w:tcPr>
          <w:p w:rsidR="00302D63" w:rsidRDefault="00302D63" w:rsidP="006B06C7">
            <w:pPr>
              <w:spacing w:line="300" w:lineRule="exact"/>
              <w:jc w:val="center"/>
              <w:rPr>
                <w:rFonts w:ascii="宋体" w:hAnsi="宋体" w:cs="宋体"/>
                <w:szCs w:val="21"/>
              </w:rPr>
            </w:pPr>
            <w:r>
              <w:rPr>
                <w:rFonts w:ascii="宋体" w:hAnsi="宋体" w:cs="宋体"/>
                <w:szCs w:val="21"/>
              </w:rPr>
              <w:t>10</w:t>
            </w:r>
          </w:p>
        </w:tc>
        <w:tc>
          <w:tcPr>
            <w:tcW w:w="5177"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行业组织和机构类工作站建立重点联系企业库或服务企业库，企业类工作站建立重点联系企业库或产业链、供应链企业库，得</w:t>
            </w:r>
            <w:r>
              <w:rPr>
                <w:rFonts w:ascii="宋体" w:hAnsi="宋体" w:cs="宋体"/>
                <w:szCs w:val="21"/>
              </w:rPr>
              <w:t>10</w:t>
            </w:r>
            <w:r>
              <w:rPr>
                <w:rFonts w:ascii="宋体" w:hAnsi="宋体" w:cs="宋体" w:hint="eastAsia"/>
                <w:szCs w:val="21"/>
              </w:rPr>
              <w:t>分；没有建立相关企业库不得分。</w:t>
            </w:r>
          </w:p>
        </w:tc>
        <w:tc>
          <w:tcPr>
            <w:tcW w:w="649"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 xml:space="preserve">　</w:t>
            </w:r>
          </w:p>
        </w:tc>
      </w:tr>
      <w:tr w:rsidR="00302D63" w:rsidTr="006B06C7">
        <w:trPr>
          <w:trHeight w:val="397"/>
          <w:jc w:val="center"/>
        </w:trPr>
        <w:tc>
          <w:tcPr>
            <w:tcW w:w="1122" w:type="dxa"/>
            <w:vMerge/>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rPr>
                <w:rFonts w:ascii="宋体" w:cs="宋体"/>
                <w:szCs w:val="21"/>
              </w:rPr>
            </w:pPr>
          </w:p>
        </w:tc>
        <w:tc>
          <w:tcPr>
            <w:tcW w:w="2055" w:type="dxa"/>
            <w:tcBorders>
              <w:top w:val="nil"/>
              <w:left w:val="nil"/>
              <w:bottom w:val="single" w:sz="4" w:space="0" w:color="auto"/>
              <w:right w:val="single" w:sz="4" w:space="0" w:color="auto"/>
            </w:tcBorders>
            <w:vAlign w:val="center"/>
          </w:tcPr>
          <w:p w:rsidR="00302D63" w:rsidRDefault="00302D63" w:rsidP="006B06C7">
            <w:pPr>
              <w:spacing w:line="300" w:lineRule="exact"/>
              <w:jc w:val="center"/>
              <w:rPr>
                <w:rFonts w:ascii="宋体" w:cs="宋体"/>
                <w:szCs w:val="21"/>
              </w:rPr>
            </w:pPr>
            <w:r>
              <w:rPr>
                <w:rFonts w:ascii="宋体" w:hAnsi="宋体" w:cs="宋体" w:hint="eastAsia"/>
                <w:szCs w:val="21"/>
              </w:rPr>
              <w:t>行业自律</w:t>
            </w:r>
            <w:r>
              <w:rPr>
                <w:rFonts w:ascii="宋体" w:cs="宋体"/>
                <w:szCs w:val="21"/>
              </w:rPr>
              <w:br/>
            </w:r>
            <w:r>
              <w:rPr>
                <w:rFonts w:ascii="宋体" w:hAnsi="宋体" w:cs="宋体" w:hint="eastAsia"/>
                <w:szCs w:val="21"/>
              </w:rPr>
              <w:t>（</w:t>
            </w:r>
            <w:r>
              <w:rPr>
                <w:rFonts w:ascii="宋体" w:hAnsi="宋体" w:cs="宋体"/>
                <w:szCs w:val="21"/>
              </w:rPr>
              <w:t>10</w:t>
            </w:r>
            <w:r>
              <w:rPr>
                <w:rFonts w:ascii="宋体" w:hAnsi="宋体" w:cs="宋体" w:hint="eastAsia"/>
                <w:szCs w:val="21"/>
              </w:rPr>
              <w:t>分）</w:t>
            </w:r>
          </w:p>
        </w:tc>
        <w:tc>
          <w:tcPr>
            <w:tcW w:w="4100"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遵守行业规范，促进有序竞争工作情况</w:t>
            </w:r>
          </w:p>
        </w:tc>
        <w:tc>
          <w:tcPr>
            <w:tcW w:w="710" w:type="dxa"/>
            <w:tcBorders>
              <w:top w:val="nil"/>
              <w:left w:val="nil"/>
              <w:bottom w:val="single" w:sz="4" w:space="0" w:color="auto"/>
              <w:right w:val="single" w:sz="4" w:space="0" w:color="auto"/>
            </w:tcBorders>
            <w:vAlign w:val="center"/>
          </w:tcPr>
          <w:p w:rsidR="00302D63" w:rsidRDefault="00302D63" w:rsidP="006B06C7">
            <w:pPr>
              <w:spacing w:line="300" w:lineRule="exact"/>
              <w:jc w:val="center"/>
              <w:rPr>
                <w:rFonts w:ascii="宋体" w:cs="宋体"/>
                <w:szCs w:val="21"/>
              </w:rPr>
            </w:pPr>
            <w:r>
              <w:rPr>
                <w:rFonts w:ascii="宋体" w:hAnsi="宋体" w:cs="宋体"/>
                <w:szCs w:val="21"/>
              </w:rPr>
              <w:t>10</w:t>
            </w:r>
            <w:r>
              <w:rPr>
                <w:rFonts w:ascii="宋体" w:hAnsi="宋体" w:cs="宋体" w:hint="eastAsia"/>
                <w:szCs w:val="21"/>
              </w:rPr>
              <w:t>分</w:t>
            </w:r>
          </w:p>
        </w:tc>
        <w:tc>
          <w:tcPr>
            <w:tcW w:w="5177"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遵守行业规范，促进有序竞争得</w:t>
            </w:r>
            <w:r>
              <w:rPr>
                <w:rFonts w:ascii="宋体" w:hAnsi="宋体" w:cs="宋体"/>
                <w:szCs w:val="21"/>
              </w:rPr>
              <w:t>10</w:t>
            </w:r>
            <w:r>
              <w:rPr>
                <w:rFonts w:ascii="宋体" w:hAnsi="宋体" w:cs="宋体" w:hint="eastAsia"/>
                <w:szCs w:val="21"/>
              </w:rPr>
              <w:t>分；因未遵守行业规范或无序竞争，被行业主管部门或执法部门通报处罚或被举报且查证属实的，不得分。</w:t>
            </w:r>
          </w:p>
        </w:tc>
        <w:tc>
          <w:tcPr>
            <w:tcW w:w="649"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 xml:space="preserve">　</w:t>
            </w:r>
          </w:p>
        </w:tc>
      </w:tr>
      <w:tr w:rsidR="00302D63" w:rsidTr="006B06C7">
        <w:trPr>
          <w:trHeight w:val="397"/>
          <w:jc w:val="center"/>
        </w:trPr>
        <w:tc>
          <w:tcPr>
            <w:tcW w:w="1122" w:type="dxa"/>
            <w:vMerge/>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rPr>
                <w:rFonts w:ascii="宋体" w:cs="宋体"/>
                <w:szCs w:val="21"/>
              </w:rPr>
            </w:pPr>
          </w:p>
        </w:tc>
        <w:tc>
          <w:tcPr>
            <w:tcW w:w="2055" w:type="dxa"/>
            <w:tcBorders>
              <w:top w:val="nil"/>
              <w:left w:val="nil"/>
              <w:bottom w:val="single" w:sz="4" w:space="0" w:color="auto"/>
              <w:right w:val="single" w:sz="4" w:space="0" w:color="auto"/>
            </w:tcBorders>
            <w:vAlign w:val="center"/>
          </w:tcPr>
          <w:p w:rsidR="00302D63" w:rsidRDefault="00302D63" w:rsidP="006B06C7">
            <w:pPr>
              <w:spacing w:line="300" w:lineRule="exact"/>
              <w:jc w:val="center"/>
              <w:rPr>
                <w:rFonts w:ascii="宋体" w:cs="宋体"/>
                <w:szCs w:val="21"/>
              </w:rPr>
            </w:pPr>
            <w:r>
              <w:rPr>
                <w:rFonts w:ascii="宋体" w:hAnsi="宋体" w:cs="宋体" w:hint="eastAsia"/>
                <w:szCs w:val="21"/>
              </w:rPr>
              <w:t>工作配合</w:t>
            </w:r>
            <w:r>
              <w:rPr>
                <w:rFonts w:ascii="宋体" w:cs="宋体"/>
                <w:szCs w:val="21"/>
              </w:rPr>
              <w:br/>
            </w:r>
            <w:r>
              <w:rPr>
                <w:rFonts w:ascii="宋体" w:hAnsi="宋体" w:cs="宋体" w:hint="eastAsia"/>
                <w:szCs w:val="21"/>
              </w:rPr>
              <w:t>（</w:t>
            </w:r>
            <w:r>
              <w:rPr>
                <w:rFonts w:ascii="宋体" w:hAnsi="宋体" w:cs="宋体"/>
                <w:szCs w:val="21"/>
              </w:rPr>
              <w:t>30</w:t>
            </w:r>
            <w:r>
              <w:rPr>
                <w:rFonts w:ascii="宋体" w:hAnsi="宋体" w:cs="宋体" w:hint="eastAsia"/>
                <w:szCs w:val="21"/>
              </w:rPr>
              <w:t>分）</w:t>
            </w:r>
          </w:p>
        </w:tc>
        <w:tc>
          <w:tcPr>
            <w:tcW w:w="4100"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组织或参与有关贸易救济调查和技术性贸易措施的培训、宣传、讲座、调研等情况</w:t>
            </w:r>
          </w:p>
        </w:tc>
        <w:tc>
          <w:tcPr>
            <w:tcW w:w="710" w:type="dxa"/>
            <w:tcBorders>
              <w:top w:val="nil"/>
              <w:left w:val="nil"/>
              <w:bottom w:val="single" w:sz="4" w:space="0" w:color="auto"/>
              <w:right w:val="single" w:sz="4" w:space="0" w:color="auto"/>
            </w:tcBorders>
            <w:vAlign w:val="center"/>
          </w:tcPr>
          <w:p w:rsidR="00302D63" w:rsidRDefault="00302D63" w:rsidP="006B06C7">
            <w:pPr>
              <w:spacing w:line="300" w:lineRule="exact"/>
              <w:jc w:val="center"/>
              <w:rPr>
                <w:rFonts w:ascii="宋体" w:cs="宋体"/>
                <w:szCs w:val="21"/>
              </w:rPr>
            </w:pPr>
            <w:r>
              <w:rPr>
                <w:rFonts w:ascii="宋体" w:hAnsi="宋体" w:cs="宋体"/>
                <w:szCs w:val="21"/>
              </w:rPr>
              <w:t>30</w:t>
            </w:r>
            <w:r>
              <w:rPr>
                <w:rFonts w:ascii="宋体" w:hAnsi="宋体" w:cs="宋体" w:hint="eastAsia"/>
                <w:szCs w:val="21"/>
              </w:rPr>
              <w:t>分</w:t>
            </w:r>
          </w:p>
        </w:tc>
        <w:tc>
          <w:tcPr>
            <w:tcW w:w="5177"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每组织</w:t>
            </w:r>
            <w:r>
              <w:rPr>
                <w:rFonts w:ascii="宋体" w:hAnsi="宋体" w:cs="宋体"/>
                <w:szCs w:val="21"/>
              </w:rPr>
              <w:t>1</w:t>
            </w:r>
            <w:r>
              <w:rPr>
                <w:rFonts w:ascii="宋体" w:hAnsi="宋体" w:cs="宋体" w:hint="eastAsia"/>
                <w:szCs w:val="21"/>
              </w:rPr>
              <w:t>次有关培训、宣传、讲座、调研得</w:t>
            </w:r>
            <w:r>
              <w:rPr>
                <w:rFonts w:ascii="宋体" w:hAnsi="宋体" w:cs="宋体"/>
                <w:szCs w:val="21"/>
              </w:rPr>
              <w:t>5</w:t>
            </w:r>
            <w:r>
              <w:rPr>
                <w:rFonts w:ascii="宋体" w:hAnsi="宋体" w:cs="宋体" w:hint="eastAsia"/>
                <w:szCs w:val="21"/>
              </w:rPr>
              <w:t>分；每参与一次上述活动得</w:t>
            </w:r>
            <w:r>
              <w:rPr>
                <w:rFonts w:ascii="宋体" w:hAnsi="宋体" w:cs="宋体"/>
                <w:szCs w:val="21"/>
              </w:rPr>
              <w:t>2</w:t>
            </w:r>
            <w:r>
              <w:rPr>
                <w:rFonts w:ascii="宋体" w:hAnsi="宋体" w:cs="宋体" w:hint="eastAsia"/>
                <w:szCs w:val="21"/>
              </w:rPr>
              <w:t>分；最高得分</w:t>
            </w:r>
            <w:r>
              <w:rPr>
                <w:rFonts w:ascii="宋体" w:hAnsi="宋体" w:cs="宋体"/>
                <w:szCs w:val="21"/>
              </w:rPr>
              <w:t>30</w:t>
            </w:r>
            <w:r>
              <w:rPr>
                <w:rFonts w:ascii="宋体" w:hAnsi="宋体" w:cs="宋体" w:hint="eastAsia"/>
                <w:szCs w:val="21"/>
              </w:rPr>
              <w:t>分。</w:t>
            </w:r>
          </w:p>
        </w:tc>
        <w:tc>
          <w:tcPr>
            <w:tcW w:w="649"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 xml:space="preserve">　</w:t>
            </w:r>
          </w:p>
        </w:tc>
      </w:tr>
      <w:tr w:rsidR="00302D63" w:rsidTr="006B06C7">
        <w:trPr>
          <w:trHeight w:val="397"/>
          <w:jc w:val="center"/>
        </w:trPr>
        <w:tc>
          <w:tcPr>
            <w:tcW w:w="1122" w:type="dxa"/>
            <w:vMerge w:val="restart"/>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jc w:val="center"/>
              <w:rPr>
                <w:rFonts w:ascii="宋体" w:cs="宋体"/>
                <w:szCs w:val="21"/>
              </w:rPr>
            </w:pPr>
            <w:r>
              <w:rPr>
                <w:rFonts w:ascii="宋体" w:hAnsi="宋体" w:cs="宋体" w:hint="eastAsia"/>
                <w:szCs w:val="21"/>
              </w:rPr>
              <w:t>加分项</w:t>
            </w:r>
            <w:r>
              <w:rPr>
                <w:rFonts w:ascii="宋体" w:cs="宋体"/>
                <w:szCs w:val="21"/>
              </w:rPr>
              <w:br/>
            </w:r>
            <w:r>
              <w:rPr>
                <w:rFonts w:ascii="宋体" w:hAnsi="宋体" w:cs="宋体"/>
                <w:szCs w:val="21"/>
              </w:rPr>
              <w:t>(</w:t>
            </w:r>
            <w:r>
              <w:rPr>
                <w:rFonts w:ascii="宋体" w:hAnsi="宋体" w:cs="宋体" w:hint="eastAsia"/>
                <w:szCs w:val="21"/>
              </w:rPr>
              <w:t>最高得分</w:t>
            </w:r>
            <w:r>
              <w:rPr>
                <w:rFonts w:ascii="宋体" w:hAnsi="宋体" w:cs="宋体"/>
                <w:szCs w:val="21"/>
              </w:rPr>
              <w:t>50</w:t>
            </w:r>
            <w:r>
              <w:rPr>
                <w:rFonts w:ascii="宋体" w:hAnsi="宋体" w:cs="宋体" w:hint="eastAsia"/>
                <w:szCs w:val="21"/>
              </w:rPr>
              <w:t>分）</w:t>
            </w:r>
          </w:p>
        </w:tc>
        <w:tc>
          <w:tcPr>
            <w:tcW w:w="2055" w:type="dxa"/>
            <w:tcBorders>
              <w:top w:val="nil"/>
              <w:left w:val="nil"/>
              <w:bottom w:val="single" w:sz="4" w:space="0" w:color="auto"/>
              <w:right w:val="single" w:sz="4" w:space="0" w:color="auto"/>
            </w:tcBorders>
            <w:vAlign w:val="center"/>
          </w:tcPr>
          <w:p w:rsidR="00302D63" w:rsidRDefault="00302D63" w:rsidP="006B06C7">
            <w:pPr>
              <w:spacing w:line="300" w:lineRule="exact"/>
              <w:jc w:val="center"/>
              <w:rPr>
                <w:rFonts w:ascii="宋体" w:cs="宋体"/>
                <w:szCs w:val="21"/>
              </w:rPr>
            </w:pPr>
            <w:r>
              <w:rPr>
                <w:rFonts w:ascii="宋体" w:hAnsi="宋体" w:cs="宋体" w:hint="eastAsia"/>
                <w:szCs w:val="21"/>
              </w:rPr>
              <w:t>信息、报告采纳情况</w:t>
            </w:r>
            <w:r>
              <w:rPr>
                <w:rFonts w:ascii="宋体" w:cs="宋体"/>
                <w:szCs w:val="21"/>
              </w:rPr>
              <w:br/>
            </w:r>
            <w:r>
              <w:rPr>
                <w:rFonts w:ascii="宋体" w:hAnsi="宋体" w:cs="宋体"/>
                <w:szCs w:val="21"/>
              </w:rPr>
              <w:t>(</w:t>
            </w:r>
            <w:r>
              <w:rPr>
                <w:rFonts w:ascii="宋体" w:hAnsi="宋体" w:cs="宋体" w:hint="eastAsia"/>
                <w:szCs w:val="21"/>
              </w:rPr>
              <w:t>最高得分</w:t>
            </w:r>
            <w:r>
              <w:rPr>
                <w:rFonts w:ascii="宋体" w:hAnsi="宋体" w:cs="宋体" w:hint="eastAsia"/>
                <w:szCs w:val="21"/>
              </w:rPr>
              <w:t>2</w:t>
            </w:r>
            <w:r>
              <w:rPr>
                <w:rFonts w:ascii="宋体" w:hAnsi="宋体" w:cs="宋体"/>
                <w:szCs w:val="21"/>
              </w:rPr>
              <w:t>0</w:t>
            </w:r>
            <w:r>
              <w:rPr>
                <w:rFonts w:ascii="宋体" w:hAnsi="宋体" w:cs="宋体" w:hint="eastAsia"/>
                <w:szCs w:val="21"/>
              </w:rPr>
              <w:t>分）</w:t>
            </w:r>
          </w:p>
        </w:tc>
        <w:tc>
          <w:tcPr>
            <w:tcW w:w="4100"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pacing w:val="6"/>
                <w:szCs w:val="21"/>
              </w:rPr>
            </w:pPr>
            <w:r>
              <w:rPr>
                <w:rFonts w:ascii="宋体" w:hAnsi="宋体" w:cs="宋体" w:hint="eastAsia"/>
                <w:spacing w:val="6"/>
                <w:szCs w:val="21"/>
              </w:rPr>
              <w:t>行业预警专题分析报告、案件分析总结报告；预警信息</w:t>
            </w:r>
          </w:p>
        </w:tc>
        <w:tc>
          <w:tcPr>
            <w:tcW w:w="710" w:type="dxa"/>
            <w:tcBorders>
              <w:top w:val="nil"/>
              <w:left w:val="nil"/>
              <w:bottom w:val="single" w:sz="4" w:space="0" w:color="auto"/>
              <w:right w:val="single" w:sz="4" w:space="0" w:color="auto"/>
            </w:tcBorders>
            <w:vAlign w:val="center"/>
          </w:tcPr>
          <w:p w:rsidR="00302D63" w:rsidRDefault="00302D63" w:rsidP="006B06C7">
            <w:pPr>
              <w:spacing w:line="300" w:lineRule="exact"/>
              <w:jc w:val="center"/>
              <w:rPr>
                <w:rFonts w:ascii="宋体" w:cs="宋体"/>
                <w:szCs w:val="21"/>
              </w:rPr>
            </w:pPr>
            <w:r>
              <w:rPr>
                <w:rFonts w:ascii="宋体" w:hAnsi="宋体" w:cs="宋体" w:hint="eastAsia"/>
                <w:szCs w:val="21"/>
              </w:rPr>
              <w:t xml:space="preserve">　</w:t>
            </w:r>
          </w:p>
        </w:tc>
        <w:tc>
          <w:tcPr>
            <w:tcW w:w="5177"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行业预警专题分析报告或案件分析总结报告被省商务厅采编发布</w:t>
            </w:r>
            <w:r>
              <w:rPr>
                <w:rFonts w:ascii="宋体" w:hAnsi="宋体" w:cs="宋体"/>
                <w:szCs w:val="21"/>
              </w:rPr>
              <w:t>1</w:t>
            </w:r>
            <w:r>
              <w:rPr>
                <w:rFonts w:ascii="宋体" w:hAnsi="宋体" w:cs="宋体" w:hint="eastAsia"/>
                <w:szCs w:val="21"/>
              </w:rPr>
              <w:t>次加</w:t>
            </w:r>
            <w:r>
              <w:rPr>
                <w:rFonts w:ascii="宋体" w:hAnsi="宋体" w:cs="宋体"/>
                <w:szCs w:val="21"/>
              </w:rPr>
              <w:t>5</w:t>
            </w:r>
            <w:r>
              <w:rPr>
                <w:rFonts w:ascii="宋体" w:hAnsi="宋体" w:cs="宋体" w:hint="eastAsia"/>
                <w:szCs w:val="21"/>
              </w:rPr>
              <w:t>分；被商务部或其他省部级网站、报纸等媒体采编发布，每</w:t>
            </w:r>
            <w:r>
              <w:rPr>
                <w:rFonts w:ascii="宋体" w:hAnsi="宋体" w:cs="宋体"/>
                <w:szCs w:val="21"/>
              </w:rPr>
              <w:t>1</w:t>
            </w:r>
            <w:r>
              <w:rPr>
                <w:rFonts w:ascii="宋体" w:hAnsi="宋体" w:cs="宋体" w:hint="eastAsia"/>
                <w:szCs w:val="21"/>
              </w:rPr>
              <w:t>次加</w:t>
            </w:r>
            <w:r>
              <w:rPr>
                <w:rFonts w:ascii="宋体" w:hAnsi="宋体" w:cs="宋体"/>
                <w:szCs w:val="21"/>
              </w:rPr>
              <w:t>10</w:t>
            </w:r>
            <w:r>
              <w:rPr>
                <w:rFonts w:ascii="宋体" w:hAnsi="宋体" w:cs="宋体" w:hint="eastAsia"/>
                <w:szCs w:val="21"/>
              </w:rPr>
              <w:t>分。预警信息每采用</w:t>
            </w:r>
            <w:r>
              <w:rPr>
                <w:rFonts w:ascii="宋体" w:hAnsi="宋体" w:cs="宋体" w:hint="eastAsia"/>
                <w:szCs w:val="21"/>
              </w:rPr>
              <w:t>1</w:t>
            </w:r>
            <w:r>
              <w:rPr>
                <w:rFonts w:ascii="宋体" w:hAnsi="宋体" w:cs="宋体" w:hint="eastAsia"/>
                <w:szCs w:val="21"/>
              </w:rPr>
              <w:t>条加</w:t>
            </w:r>
            <w:r>
              <w:rPr>
                <w:rFonts w:ascii="宋体" w:hAnsi="宋体" w:cs="宋体" w:hint="eastAsia"/>
                <w:szCs w:val="21"/>
              </w:rPr>
              <w:t>0.5</w:t>
            </w:r>
            <w:r>
              <w:rPr>
                <w:rFonts w:ascii="宋体" w:hAnsi="宋体" w:cs="宋体" w:hint="eastAsia"/>
                <w:szCs w:val="21"/>
              </w:rPr>
              <w:t>分。</w:t>
            </w:r>
          </w:p>
        </w:tc>
        <w:tc>
          <w:tcPr>
            <w:tcW w:w="649"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 xml:space="preserve">　</w:t>
            </w:r>
          </w:p>
        </w:tc>
      </w:tr>
      <w:tr w:rsidR="00302D63" w:rsidTr="006B06C7">
        <w:trPr>
          <w:trHeight w:val="397"/>
          <w:jc w:val="center"/>
        </w:trPr>
        <w:tc>
          <w:tcPr>
            <w:tcW w:w="1122" w:type="dxa"/>
            <w:vMerge/>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rPr>
                <w:rFonts w:ascii="宋体" w:cs="宋体"/>
                <w:szCs w:val="21"/>
              </w:rPr>
            </w:pPr>
          </w:p>
        </w:tc>
        <w:tc>
          <w:tcPr>
            <w:tcW w:w="2055" w:type="dxa"/>
            <w:tcBorders>
              <w:top w:val="nil"/>
              <w:left w:val="nil"/>
              <w:bottom w:val="single" w:sz="4" w:space="0" w:color="auto"/>
              <w:right w:val="single" w:sz="4" w:space="0" w:color="auto"/>
            </w:tcBorders>
            <w:vAlign w:val="center"/>
          </w:tcPr>
          <w:p w:rsidR="00302D63" w:rsidRDefault="00302D63" w:rsidP="006B06C7">
            <w:pPr>
              <w:spacing w:line="300" w:lineRule="exact"/>
              <w:jc w:val="center"/>
              <w:rPr>
                <w:rFonts w:ascii="宋体" w:cs="宋体"/>
                <w:szCs w:val="21"/>
              </w:rPr>
            </w:pPr>
            <w:r>
              <w:rPr>
                <w:rFonts w:ascii="宋体" w:hAnsi="宋体" w:cs="宋体" w:hint="eastAsia"/>
                <w:szCs w:val="21"/>
              </w:rPr>
              <w:t>意见建议采纳情况</w:t>
            </w:r>
            <w:r>
              <w:rPr>
                <w:rFonts w:ascii="宋体" w:cs="宋体"/>
                <w:szCs w:val="21"/>
              </w:rPr>
              <w:br/>
            </w:r>
            <w:r>
              <w:rPr>
                <w:rFonts w:ascii="宋体" w:hAnsi="宋体" w:cs="宋体"/>
                <w:szCs w:val="21"/>
              </w:rPr>
              <w:t>(</w:t>
            </w:r>
            <w:r>
              <w:rPr>
                <w:rFonts w:ascii="宋体" w:hAnsi="宋体" w:cs="宋体" w:hint="eastAsia"/>
                <w:szCs w:val="21"/>
              </w:rPr>
              <w:t>最高得分</w:t>
            </w:r>
            <w:r>
              <w:rPr>
                <w:rFonts w:ascii="宋体" w:hAnsi="宋体" w:cs="宋体"/>
                <w:szCs w:val="21"/>
              </w:rPr>
              <w:t>10</w:t>
            </w:r>
            <w:r>
              <w:rPr>
                <w:rFonts w:ascii="宋体" w:hAnsi="宋体" w:cs="宋体" w:hint="eastAsia"/>
                <w:szCs w:val="21"/>
              </w:rPr>
              <w:t>分）</w:t>
            </w:r>
          </w:p>
        </w:tc>
        <w:tc>
          <w:tcPr>
            <w:tcW w:w="4100"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向商务主管部门就应对国际贸易摩擦提出的意见建议情况</w:t>
            </w:r>
          </w:p>
        </w:tc>
        <w:tc>
          <w:tcPr>
            <w:tcW w:w="710" w:type="dxa"/>
            <w:tcBorders>
              <w:top w:val="nil"/>
              <w:left w:val="nil"/>
              <w:bottom w:val="single" w:sz="4" w:space="0" w:color="auto"/>
              <w:right w:val="single" w:sz="4" w:space="0" w:color="auto"/>
            </w:tcBorders>
            <w:vAlign w:val="center"/>
          </w:tcPr>
          <w:p w:rsidR="00302D63" w:rsidRDefault="00302D63" w:rsidP="006B06C7">
            <w:pPr>
              <w:spacing w:line="300" w:lineRule="exact"/>
              <w:jc w:val="center"/>
              <w:rPr>
                <w:rFonts w:ascii="宋体" w:cs="宋体"/>
                <w:szCs w:val="21"/>
              </w:rPr>
            </w:pPr>
            <w:r>
              <w:rPr>
                <w:rFonts w:ascii="宋体" w:hAnsi="宋体" w:cs="宋体" w:hint="eastAsia"/>
                <w:szCs w:val="21"/>
              </w:rPr>
              <w:t xml:space="preserve">　</w:t>
            </w:r>
          </w:p>
        </w:tc>
        <w:tc>
          <w:tcPr>
            <w:tcW w:w="5177"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提出可操作性的意见建议被采纳</w:t>
            </w:r>
            <w:r>
              <w:rPr>
                <w:rFonts w:ascii="宋体" w:hAnsi="宋体" w:cs="宋体"/>
                <w:szCs w:val="21"/>
              </w:rPr>
              <w:t>1</w:t>
            </w:r>
            <w:r>
              <w:rPr>
                <w:rFonts w:ascii="宋体" w:hAnsi="宋体" w:cs="宋体" w:hint="eastAsia"/>
                <w:szCs w:val="21"/>
              </w:rPr>
              <w:t>次得</w:t>
            </w:r>
            <w:r>
              <w:rPr>
                <w:rFonts w:ascii="宋体" w:hAnsi="宋体" w:cs="宋体"/>
                <w:szCs w:val="21"/>
              </w:rPr>
              <w:t>5</w:t>
            </w:r>
            <w:r>
              <w:rPr>
                <w:rFonts w:ascii="宋体" w:hAnsi="宋体" w:cs="宋体" w:hint="eastAsia"/>
                <w:szCs w:val="21"/>
              </w:rPr>
              <w:t>分。</w:t>
            </w:r>
          </w:p>
        </w:tc>
        <w:tc>
          <w:tcPr>
            <w:tcW w:w="649"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 xml:space="preserve">　</w:t>
            </w:r>
          </w:p>
        </w:tc>
      </w:tr>
      <w:tr w:rsidR="00302D63" w:rsidTr="006B06C7">
        <w:trPr>
          <w:trHeight w:val="397"/>
          <w:jc w:val="center"/>
        </w:trPr>
        <w:tc>
          <w:tcPr>
            <w:tcW w:w="1122" w:type="dxa"/>
            <w:vMerge/>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cs="宋体" w:hint="eastAsia"/>
                <w:szCs w:val="21"/>
              </w:rPr>
              <w:t xml:space="preserve"> </w:t>
            </w:r>
          </w:p>
        </w:tc>
        <w:tc>
          <w:tcPr>
            <w:tcW w:w="2055" w:type="dxa"/>
            <w:vMerge w:val="restart"/>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jc w:val="center"/>
              <w:rPr>
                <w:rFonts w:ascii="宋体" w:cs="宋体"/>
                <w:szCs w:val="21"/>
              </w:rPr>
            </w:pPr>
            <w:r>
              <w:rPr>
                <w:rFonts w:ascii="宋体" w:hAnsi="宋体" w:cs="宋体" w:hint="eastAsia"/>
                <w:szCs w:val="21"/>
              </w:rPr>
              <w:t>案件应对情况</w:t>
            </w:r>
            <w:r>
              <w:rPr>
                <w:rFonts w:ascii="宋体" w:cs="宋体"/>
                <w:szCs w:val="21"/>
              </w:rPr>
              <w:br/>
            </w:r>
            <w:r>
              <w:rPr>
                <w:rFonts w:ascii="宋体" w:hAnsi="宋体" w:cs="宋体"/>
                <w:szCs w:val="21"/>
              </w:rPr>
              <w:t>(</w:t>
            </w:r>
            <w:r>
              <w:rPr>
                <w:rFonts w:ascii="宋体" w:hAnsi="宋体" w:cs="宋体" w:hint="eastAsia"/>
                <w:szCs w:val="21"/>
              </w:rPr>
              <w:t>最高得分</w:t>
            </w:r>
            <w:r>
              <w:rPr>
                <w:rFonts w:ascii="宋体" w:hAnsi="宋体" w:cs="宋体"/>
                <w:szCs w:val="21"/>
              </w:rPr>
              <w:t>10</w:t>
            </w:r>
            <w:r>
              <w:rPr>
                <w:rFonts w:ascii="宋体" w:hAnsi="宋体" w:cs="宋体" w:hint="eastAsia"/>
                <w:szCs w:val="21"/>
              </w:rPr>
              <w:t>分）</w:t>
            </w:r>
          </w:p>
        </w:tc>
        <w:tc>
          <w:tcPr>
            <w:tcW w:w="4100"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积极参与或引导同行业企业应对贸易摩擦案件情况</w:t>
            </w:r>
          </w:p>
        </w:tc>
        <w:tc>
          <w:tcPr>
            <w:tcW w:w="710" w:type="dxa"/>
            <w:tcBorders>
              <w:top w:val="nil"/>
              <w:left w:val="nil"/>
              <w:bottom w:val="single" w:sz="4" w:space="0" w:color="auto"/>
              <w:right w:val="single" w:sz="4" w:space="0" w:color="auto"/>
            </w:tcBorders>
            <w:vAlign w:val="center"/>
          </w:tcPr>
          <w:p w:rsidR="00302D63" w:rsidRDefault="00302D63" w:rsidP="006B06C7">
            <w:pPr>
              <w:spacing w:line="300" w:lineRule="exact"/>
              <w:jc w:val="center"/>
              <w:rPr>
                <w:rFonts w:ascii="宋体" w:cs="宋体"/>
                <w:szCs w:val="21"/>
              </w:rPr>
            </w:pPr>
            <w:r>
              <w:rPr>
                <w:rFonts w:ascii="宋体" w:hAnsi="宋体" w:cs="宋体" w:hint="eastAsia"/>
                <w:szCs w:val="21"/>
              </w:rPr>
              <w:t xml:space="preserve">　</w:t>
            </w:r>
          </w:p>
        </w:tc>
        <w:tc>
          <w:tcPr>
            <w:tcW w:w="5177"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积极参与或引导同行业企业应对贸易摩擦案件，每件得</w:t>
            </w:r>
            <w:r>
              <w:rPr>
                <w:rFonts w:ascii="宋体" w:hAnsi="宋体" w:cs="宋体"/>
                <w:szCs w:val="21"/>
              </w:rPr>
              <w:t>5</w:t>
            </w:r>
            <w:r>
              <w:rPr>
                <w:rFonts w:ascii="宋体" w:hAnsi="宋体" w:cs="宋体" w:hint="eastAsia"/>
                <w:szCs w:val="21"/>
              </w:rPr>
              <w:t>分；案件应对效果较理想的，每件</w:t>
            </w:r>
            <w:r>
              <w:rPr>
                <w:rFonts w:ascii="宋体" w:hAnsi="宋体" w:cs="宋体"/>
                <w:szCs w:val="21"/>
              </w:rPr>
              <w:t>10</w:t>
            </w:r>
            <w:r>
              <w:rPr>
                <w:rFonts w:ascii="宋体" w:hAnsi="宋体" w:cs="宋体" w:hint="eastAsia"/>
                <w:szCs w:val="21"/>
              </w:rPr>
              <w:t>分。</w:t>
            </w:r>
          </w:p>
        </w:tc>
        <w:tc>
          <w:tcPr>
            <w:tcW w:w="649"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 xml:space="preserve">　</w:t>
            </w:r>
          </w:p>
        </w:tc>
      </w:tr>
      <w:tr w:rsidR="00302D63" w:rsidTr="006B06C7">
        <w:trPr>
          <w:trHeight w:val="397"/>
          <w:jc w:val="center"/>
        </w:trPr>
        <w:tc>
          <w:tcPr>
            <w:tcW w:w="1122" w:type="dxa"/>
            <w:vMerge/>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rPr>
                <w:rFonts w:ascii="宋体" w:cs="宋体"/>
                <w:szCs w:val="21"/>
              </w:rPr>
            </w:pPr>
          </w:p>
        </w:tc>
        <w:tc>
          <w:tcPr>
            <w:tcW w:w="2055" w:type="dxa"/>
            <w:vMerge/>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rPr>
                <w:rFonts w:ascii="宋体" w:cs="宋体"/>
                <w:szCs w:val="21"/>
              </w:rPr>
            </w:pPr>
          </w:p>
        </w:tc>
        <w:tc>
          <w:tcPr>
            <w:tcW w:w="4100"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pacing w:val="4"/>
                <w:szCs w:val="21"/>
              </w:rPr>
            </w:pPr>
            <w:r>
              <w:rPr>
                <w:rFonts w:ascii="宋体" w:hAnsi="宋体" w:cs="宋体" w:hint="eastAsia"/>
                <w:spacing w:val="4"/>
                <w:szCs w:val="21"/>
              </w:rPr>
              <w:t>配合商务主管部门开展案件调查取证等工作</w:t>
            </w:r>
          </w:p>
        </w:tc>
        <w:tc>
          <w:tcPr>
            <w:tcW w:w="710" w:type="dxa"/>
            <w:tcBorders>
              <w:top w:val="nil"/>
              <w:left w:val="nil"/>
              <w:bottom w:val="single" w:sz="4" w:space="0" w:color="auto"/>
              <w:right w:val="single" w:sz="4" w:space="0" w:color="auto"/>
            </w:tcBorders>
            <w:vAlign w:val="center"/>
          </w:tcPr>
          <w:p w:rsidR="00302D63" w:rsidRDefault="00302D63" w:rsidP="006B06C7">
            <w:pPr>
              <w:spacing w:line="300" w:lineRule="exact"/>
              <w:jc w:val="center"/>
              <w:rPr>
                <w:rFonts w:ascii="宋体" w:cs="宋体"/>
                <w:szCs w:val="21"/>
              </w:rPr>
            </w:pPr>
            <w:r>
              <w:rPr>
                <w:rFonts w:ascii="宋体" w:hAnsi="宋体" w:cs="宋体" w:hint="eastAsia"/>
                <w:szCs w:val="21"/>
              </w:rPr>
              <w:t xml:space="preserve">　</w:t>
            </w:r>
          </w:p>
        </w:tc>
        <w:tc>
          <w:tcPr>
            <w:tcW w:w="5177"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积极配合商务主管部门开展案件调查取证等工作，每次得</w:t>
            </w:r>
            <w:r>
              <w:rPr>
                <w:rFonts w:ascii="宋体" w:hAnsi="宋体" w:cs="宋体"/>
                <w:szCs w:val="21"/>
              </w:rPr>
              <w:t>5</w:t>
            </w:r>
            <w:r>
              <w:rPr>
                <w:rFonts w:ascii="宋体" w:hAnsi="宋体" w:cs="宋体" w:hint="eastAsia"/>
                <w:szCs w:val="21"/>
              </w:rPr>
              <w:t>分。</w:t>
            </w:r>
          </w:p>
        </w:tc>
        <w:tc>
          <w:tcPr>
            <w:tcW w:w="649"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 xml:space="preserve">　</w:t>
            </w:r>
          </w:p>
        </w:tc>
      </w:tr>
      <w:tr w:rsidR="00302D63" w:rsidTr="006B06C7">
        <w:trPr>
          <w:trHeight w:val="397"/>
          <w:jc w:val="center"/>
        </w:trPr>
        <w:tc>
          <w:tcPr>
            <w:tcW w:w="1122" w:type="dxa"/>
            <w:vMerge/>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rPr>
                <w:rFonts w:ascii="宋体" w:cs="宋体"/>
                <w:szCs w:val="21"/>
              </w:rPr>
            </w:pPr>
          </w:p>
        </w:tc>
        <w:tc>
          <w:tcPr>
            <w:tcW w:w="2055" w:type="dxa"/>
            <w:vMerge/>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rPr>
                <w:rFonts w:ascii="宋体" w:cs="宋体"/>
                <w:szCs w:val="21"/>
              </w:rPr>
            </w:pPr>
          </w:p>
        </w:tc>
        <w:tc>
          <w:tcPr>
            <w:tcW w:w="4100"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案件分析总结报告</w:t>
            </w:r>
          </w:p>
        </w:tc>
        <w:tc>
          <w:tcPr>
            <w:tcW w:w="710" w:type="dxa"/>
            <w:tcBorders>
              <w:top w:val="nil"/>
              <w:left w:val="nil"/>
              <w:bottom w:val="single" w:sz="4" w:space="0" w:color="auto"/>
              <w:right w:val="single" w:sz="4" w:space="0" w:color="auto"/>
            </w:tcBorders>
            <w:vAlign w:val="center"/>
          </w:tcPr>
          <w:p w:rsidR="00302D63" w:rsidRDefault="00302D63" w:rsidP="006B06C7">
            <w:pPr>
              <w:spacing w:line="300" w:lineRule="exact"/>
              <w:jc w:val="center"/>
              <w:rPr>
                <w:rFonts w:ascii="宋体" w:cs="宋体"/>
                <w:szCs w:val="21"/>
              </w:rPr>
            </w:pPr>
            <w:r>
              <w:rPr>
                <w:rFonts w:ascii="宋体" w:hAnsi="宋体" w:cs="宋体" w:hint="eastAsia"/>
                <w:szCs w:val="21"/>
              </w:rPr>
              <w:t xml:space="preserve">　</w:t>
            </w:r>
          </w:p>
        </w:tc>
        <w:tc>
          <w:tcPr>
            <w:tcW w:w="5177"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报告包括案件概述、应对过程和措施、应对结果、影响、应对启示等内容，根据报告质量赋分，最高</w:t>
            </w:r>
            <w:r>
              <w:rPr>
                <w:rFonts w:ascii="宋体" w:hAnsi="宋体" w:cs="宋体" w:hint="eastAsia"/>
                <w:szCs w:val="21"/>
              </w:rPr>
              <w:t>10</w:t>
            </w:r>
            <w:r>
              <w:rPr>
                <w:rFonts w:ascii="宋体" w:hAnsi="宋体" w:cs="宋体" w:hint="eastAsia"/>
                <w:szCs w:val="21"/>
              </w:rPr>
              <w:t>分。</w:t>
            </w:r>
          </w:p>
        </w:tc>
        <w:tc>
          <w:tcPr>
            <w:tcW w:w="649" w:type="dxa"/>
            <w:tcBorders>
              <w:top w:val="nil"/>
              <w:left w:val="nil"/>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 xml:space="preserve">　</w:t>
            </w:r>
          </w:p>
        </w:tc>
      </w:tr>
      <w:tr w:rsidR="00302D63" w:rsidTr="006B06C7">
        <w:trPr>
          <w:trHeight w:val="814"/>
          <w:jc w:val="center"/>
        </w:trPr>
        <w:tc>
          <w:tcPr>
            <w:tcW w:w="1122" w:type="dxa"/>
            <w:vMerge/>
            <w:tcBorders>
              <w:top w:val="nil"/>
              <w:left w:val="single" w:sz="4" w:space="0" w:color="auto"/>
              <w:bottom w:val="single" w:sz="4" w:space="0" w:color="auto"/>
              <w:right w:val="single" w:sz="4" w:space="0" w:color="auto"/>
            </w:tcBorders>
            <w:vAlign w:val="center"/>
          </w:tcPr>
          <w:p w:rsidR="00302D63" w:rsidRDefault="00302D63" w:rsidP="006B06C7">
            <w:pPr>
              <w:spacing w:line="300" w:lineRule="exact"/>
              <w:rPr>
                <w:rFonts w:ascii="宋体" w:cs="宋体"/>
                <w:szCs w:val="21"/>
              </w:rPr>
            </w:pPr>
          </w:p>
        </w:tc>
        <w:tc>
          <w:tcPr>
            <w:tcW w:w="2055" w:type="dxa"/>
            <w:tcBorders>
              <w:top w:val="single" w:sz="4" w:space="0" w:color="auto"/>
              <w:left w:val="single" w:sz="4" w:space="0" w:color="auto"/>
              <w:bottom w:val="single" w:sz="4" w:space="0" w:color="auto"/>
              <w:right w:val="single" w:sz="4" w:space="0" w:color="auto"/>
            </w:tcBorders>
            <w:vAlign w:val="center"/>
          </w:tcPr>
          <w:p w:rsidR="00302D63" w:rsidRDefault="00302D63" w:rsidP="006B06C7">
            <w:pPr>
              <w:spacing w:line="300" w:lineRule="exact"/>
              <w:jc w:val="center"/>
              <w:rPr>
                <w:rFonts w:ascii="宋体" w:cs="宋体"/>
                <w:szCs w:val="21"/>
              </w:rPr>
            </w:pPr>
            <w:r>
              <w:rPr>
                <w:rFonts w:ascii="宋体" w:hAnsi="宋体" w:cs="宋体" w:hint="eastAsia"/>
                <w:szCs w:val="21"/>
              </w:rPr>
              <w:t>对外交涉情况</w:t>
            </w:r>
            <w:r>
              <w:rPr>
                <w:rFonts w:ascii="宋体" w:cs="宋体"/>
                <w:szCs w:val="21"/>
              </w:rPr>
              <w:br/>
            </w:r>
            <w:r>
              <w:rPr>
                <w:rFonts w:ascii="宋体" w:hAnsi="宋体" w:cs="宋体"/>
                <w:szCs w:val="21"/>
              </w:rPr>
              <w:t>(</w:t>
            </w:r>
            <w:r>
              <w:rPr>
                <w:rFonts w:ascii="宋体" w:hAnsi="宋体" w:cs="宋体" w:hint="eastAsia"/>
                <w:szCs w:val="21"/>
              </w:rPr>
              <w:t>最高得分</w:t>
            </w:r>
            <w:r>
              <w:rPr>
                <w:rFonts w:ascii="宋体" w:hAnsi="宋体" w:cs="宋体"/>
                <w:szCs w:val="21"/>
              </w:rPr>
              <w:t>10</w:t>
            </w:r>
            <w:r>
              <w:rPr>
                <w:rFonts w:ascii="宋体" w:hAnsi="宋体" w:cs="宋体" w:hint="eastAsia"/>
                <w:szCs w:val="21"/>
              </w:rPr>
              <w:t>分）</w:t>
            </w:r>
          </w:p>
        </w:tc>
        <w:tc>
          <w:tcPr>
            <w:tcW w:w="4100" w:type="dxa"/>
            <w:tcBorders>
              <w:top w:val="single" w:sz="4" w:space="0" w:color="auto"/>
              <w:left w:val="single" w:sz="4" w:space="0" w:color="auto"/>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与境外同行、相关行业商（协）会进行交流，化解可能发生的贸易摩擦案件情况</w:t>
            </w:r>
          </w:p>
        </w:tc>
        <w:tc>
          <w:tcPr>
            <w:tcW w:w="710" w:type="dxa"/>
            <w:tcBorders>
              <w:top w:val="single" w:sz="4" w:space="0" w:color="auto"/>
              <w:left w:val="single" w:sz="4" w:space="0" w:color="auto"/>
              <w:bottom w:val="single" w:sz="4" w:space="0" w:color="auto"/>
              <w:right w:val="single" w:sz="4" w:space="0" w:color="auto"/>
            </w:tcBorders>
            <w:vAlign w:val="center"/>
          </w:tcPr>
          <w:p w:rsidR="00302D63" w:rsidRDefault="00302D63" w:rsidP="006B06C7">
            <w:pPr>
              <w:spacing w:line="300" w:lineRule="exact"/>
              <w:jc w:val="center"/>
              <w:rPr>
                <w:rFonts w:ascii="宋体" w:hAnsi="宋体" w:cs="宋体"/>
                <w:szCs w:val="21"/>
              </w:rPr>
            </w:pPr>
            <w:r>
              <w:rPr>
                <w:rFonts w:ascii="宋体" w:hAnsi="宋体" w:cs="宋体" w:hint="eastAsia"/>
                <w:szCs w:val="21"/>
              </w:rPr>
              <w:t xml:space="preserve">　</w:t>
            </w:r>
          </w:p>
          <w:p w:rsidR="00302D63" w:rsidRDefault="00302D63" w:rsidP="006B06C7">
            <w:pPr>
              <w:spacing w:line="300" w:lineRule="exact"/>
              <w:jc w:val="center"/>
              <w:rPr>
                <w:rFonts w:ascii="宋体" w:cs="宋体"/>
                <w:szCs w:val="21"/>
              </w:rPr>
            </w:pPr>
            <w:r>
              <w:rPr>
                <w:rFonts w:ascii="宋体" w:hAnsi="宋体" w:cs="宋体" w:hint="eastAsia"/>
                <w:szCs w:val="21"/>
              </w:rPr>
              <w:t xml:space="preserve">　</w:t>
            </w:r>
          </w:p>
        </w:tc>
        <w:tc>
          <w:tcPr>
            <w:tcW w:w="5177" w:type="dxa"/>
            <w:tcBorders>
              <w:top w:val="single" w:sz="4" w:space="0" w:color="auto"/>
              <w:left w:val="single" w:sz="4" w:space="0" w:color="auto"/>
              <w:bottom w:val="single" w:sz="4" w:space="0" w:color="auto"/>
              <w:right w:val="single" w:sz="4" w:space="0" w:color="auto"/>
            </w:tcBorders>
            <w:vAlign w:val="center"/>
          </w:tcPr>
          <w:p w:rsidR="00302D63" w:rsidRDefault="00302D63" w:rsidP="006B06C7">
            <w:pPr>
              <w:spacing w:line="300" w:lineRule="exact"/>
              <w:rPr>
                <w:rFonts w:ascii="宋体" w:cs="宋体"/>
                <w:szCs w:val="21"/>
              </w:rPr>
            </w:pPr>
            <w:r>
              <w:rPr>
                <w:rFonts w:ascii="宋体" w:hAnsi="宋体" w:cs="宋体" w:hint="eastAsia"/>
                <w:szCs w:val="21"/>
              </w:rPr>
              <w:t>具体开展相关工作，化解可能发生的贸易摩擦案件，每件得</w:t>
            </w:r>
            <w:r>
              <w:rPr>
                <w:rFonts w:ascii="宋体" w:hAnsi="宋体" w:cs="宋体"/>
                <w:szCs w:val="21"/>
              </w:rPr>
              <w:t>5</w:t>
            </w:r>
            <w:r>
              <w:rPr>
                <w:rFonts w:ascii="宋体" w:hAnsi="宋体" w:cs="宋体" w:hint="eastAsia"/>
                <w:szCs w:val="21"/>
              </w:rPr>
              <w:t>分。</w:t>
            </w:r>
          </w:p>
        </w:tc>
        <w:tc>
          <w:tcPr>
            <w:tcW w:w="649" w:type="dxa"/>
            <w:tcBorders>
              <w:top w:val="single" w:sz="4" w:space="0" w:color="auto"/>
              <w:left w:val="single" w:sz="4" w:space="0" w:color="auto"/>
              <w:bottom w:val="single" w:sz="4" w:space="0" w:color="auto"/>
              <w:right w:val="single" w:sz="4" w:space="0" w:color="auto"/>
            </w:tcBorders>
            <w:vAlign w:val="center"/>
          </w:tcPr>
          <w:p w:rsidR="00302D63" w:rsidRDefault="00302D63" w:rsidP="006B06C7">
            <w:pPr>
              <w:spacing w:line="300" w:lineRule="exact"/>
              <w:rPr>
                <w:rFonts w:ascii="宋体" w:hAnsi="宋体" w:cs="宋体"/>
                <w:szCs w:val="21"/>
              </w:rPr>
            </w:pPr>
            <w:r>
              <w:rPr>
                <w:rFonts w:ascii="宋体" w:hAnsi="宋体" w:cs="宋体" w:hint="eastAsia"/>
                <w:szCs w:val="21"/>
              </w:rPr>
              <w:t xml:space="preserve">　</w:t>
            </w:r>
          </w:p>
          <w:p w:rsidR="00302D63" w:rsidRDefault="00302D63" w:rsidP="006B06C7">
            <w:pPr>
              <w:spacing w:line="300" w:lineRule="exact"/>
              <w:rPr>
                <w:rFonts w:ascii="宋体" w:cs="宋体"/>
                <w:szCs w:val="21"/>
              </w:rPr>
            </w:pPr>
            <w:r>
              <w:rPr>
                <w:rFonts w:ascii="宋体" w:hAnsi="宋体" w:cs="宋体" w:hint="eastAsia"/>
                <w:szCs w:val="21"/>
              </w:rPr>
              <w:t xml:space="preserve">　</w:t>
            </w:r>
          </w:p>
        </w:tc>
      </w:tr>
    </w:tbl>
    <w:p w:rsidR="004358AB" w:rsidRDefault="004358AB" w:rsidP="00D31D50">
      <w:pPr>
        <w:spacing w:line="220" w:lineRule="atLeast"/>
      </w:pPr>
    </w:p>
    <w:sectPr w:rsidR="004358AB" w:rsidSect="00302D63">
      <w:foot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201" w:rsidRDefault="00195201" w:rsidP="00302D63">
      <w:pPr>
        <w:spacing w:after="0"/>
      </w:pPr>
      <w:r>
        <w:separator/>
      </w:r>
    </w:p>
  </w:endnote>
  <w:endnote w:type="continuationSeparator" w:id="0">
    <w:p w:rsidR="00195201" w:rsidRDefault="00195201" w:rsidP="00302D6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D63" w:rsidRDefault="00302D63">
    <w:pPr>
      <w:pStyle w:val="a4"/>
      <w:ind w:right="360" w:firstLine="360"/>
    </w:pPr>
    <w:r>
      <w:pict>
        <v:shapetype id="_x0000_t202" coordsize="21600,21600" o:spt="202" path="m,l,21600r21600,l21600,xe">
          <v:stroke joinstyle="miter"/>
          <v:path gradientshapeok="t" o:connecttype="rect"/>
        </v:shapetype>
        <v:shape id="_x0000_s5121" type="#_x0000_t202" style="position:absolute;left:0;text-align:left;margin-left:0;margin-top:0;width:2in;height:2in;z-index:251660288;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filled="f" stroked="f" strokeweight=".5pt">
          <v:textbox style="mso-fit-shape-to-text:t" inset="0,0,0,0">
            <w:txbxContent>
              <w:p w:rsidR="00302D63" w:rsidRDefault="00302D63">
                <w:pPr>
                  <w:pStyle w:val="a4"/>
                  <w:rPr>
                    <w:rStyle w:val="a6"/>
                    <w:rFonts w:ascii="宋体"/>
                    <w:sz w:val="24"/>
                    <w:szCs w:val="24"/>
                  </w:rPr>
                </w:pPr>
                <w:r>
                  <w:rPr>
                    <w:rStyle w:val="a6"/>
                    <w:rFonts w:ascii="宋体" w:hAnsi="宋体"/>
                    <w:sz w:val="24"/>
                    <w:szCs w:val="24"/>
                  </w:rPr>
                  <w:fldChar w:fldCharType="begin"/>
                </w:r>
                <w:r>
                  <w:rPr>
                    <w:rStyle w:val="a6"/>
                    <w:rFonts w:ascii="宋体" w:hAnsi="宋体"/>
                    <w:sz w:val="24"/>
                    <w:szCs w:val="24"/>
                  </w:rPr>
                  <w:instrText xml:space="preserve">PAGE  </w:instrText>
                </w:r>
                <w:r>
                  <w:rPr>
                    <w:rStyle w:val="a6"/>
                    <w:rFonts w:ascii="宋体" w:hAnsi="宋体"/>
                    <w:sz w:val="24"/>
                    <w:szCs w:val="24"/>
                  </w:rPr>
                  <w:fldChar w:fldCharType="separate"/>
                </w:r>
                <w:r>
                  <w:rPr>
                    <w:rStyle w:val="a6"/>
                    <w:rFonts w:ascii="宋体" w:hAnsi="宋体"/>
                    <w:noProof/>
                    <w:sz w:val="24"/>
                    <w:szCs w:val="24"/>
                  </w:rPr>
                  <w:t>3</w:t>
                </w:r>
                <w:r>
                  <w:rPr>
                    <w:rStyle w:val="a6"/>
                    <w:rFonts w:ascii="宋体" w:hAnsi="宋体"/>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201" w:rsidRDefault="00195201" w:rsidP="00302D63">
      <w:pPr>
        <w:spacing w:after="0"/>
      </w:pPr>
      <w:r>
        <w:separator/>
      </w:r>
    </w:p>
  </w:footnote>
  <w:footnote w:type="continuationSeparator" w:id="0">
    <w:p w:rsidR="00195201" w:rsidRDefault="00195201" w:rsidP="00302D6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6146"/>
    <o:shapelayout v:ext="edit">
      <o:idmap v:ext="edit" data="5"/>
    </o:shapelayout>
  </w:hdrShapeDefaults>
  <w:footnotePr>
    <w:footnote w:id="-1"/>
    <w:footnote w:id="0"/>
  </w:footnotePr>
  <w:endnotePr>
    <w:endnote w:id="-1"/>
    <w:endnote w:id="0"/>
  </w:endnotePr>
  <w:compat>
    <w:useFELayout/>
  </w:compat>
  <w:rsids>
    <w:rsidRoot w:val="00D31D50"/>
    <w:rsid w:val="00195201"/>
    <w:rsid w:val="00302D63"/>
    <w:rsid w:val="00323B43"/>
    <w:rsid w:val="003D37D8"/>
    <w:rsid w:val="00426133"/>
    <w:rsid w:val="004358AB"/>
    <w:rsid w:val="008B7726"/>
    <w:rsid w:val="00D31D50"/>
    <w:rsid w:val="00E215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02D6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02D63"/>
    <w:rPr>
      <w:rFonts w:ascii="Tahoma" w:hAnsi="Tahoma"/>
      <w:sz w:val="18"/>
      <w:szCs w:val="18"/>
    </w:rPr>
  </w:style>
  <w:style w:type="paragraph" w:styleId="a4">
    <w:name w:val="footer"/>
    <w:basedOn w:val="a"/>
    <w:link w:val="Char0"/>
    <w:uiPriority w:val="99"/>
    <w:unhideWhenUsed/>
    <w:qFormat/>
    <w:rsid w:val="00302D63"/>
    <w:pPr>
      <w:tabs>
        <w:tab w:val="center" w:pos="4153"/>
        <w:tab w:val="right" w:pos="8306"/>
      </w:tabs>
    </w:pPr>
    <w:rPr>
      <w:sz w:val="18"/>
      <w:szCs w:val="18"/>
    </w:rPr>
  </w:style>
  <w:style w:type="character" w:customStyle="1" w:styleId="Char0">
    <w:name w:val="页脚 Char"/>
    <w:basedOn w:val="a0"/>
    <w:link w:val="a4"/>
    <w:uiPriority w:val="99"/>
    <w:semiHidden/>
    <w:rsid w:val="00302D63"/>
    <w:rPr>
      <w:rFonts w:ascii="Tahoma" w:hAnsi="Tahoma"/>
      <w:sz w:val="18"/>
      <w:szCs w:val="18"/>
    </w:rPr>
  </w:style>
  <w:style w:type="paragraph" w:styleId="a5">
    <w:name w:val="Normal (Web)"/>
    <w:basedOn w:val="a"/>
    <w:qFormat/>
    <w:rsid w:val="00302D63"/>
    <w:pPr>
      <w:widowControl w:val="0"/>
      <w:adjustRightInd/>
      <w:snapToGrid/>
      <w:spacing w:after="0"/>
      <w:jc w:val="both"/>
    </w:pPr>
    <w:rPr>
      <w:rFonts w:ascii="Calibri" w:eastAsia="宋体" w:hAnsi="Calibri" w:cs="Times New Roman"/>
      <w:kern w:val="2"/>
      <w:sz w:val="24"/>
      <w:szCs w:val="24"/>
    </w:rPr>
  </w:style>
  <w:style w:type="character" w:styleId="a6">
    <w:name w:val="page number"/>
    <w:basedOn w:val="a0"/>
    <w:uiPriority w:val="99"/>
    <w:qFormat/>
    <w:rsid w:val="00302D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2022-08-23T08:52:00Z</dcterms:modified>
</cp:coreProperties>
</file>