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附件2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</w:p>
    <w:p>
      <w:pPr>
        <w:widowControl w:val="0"/>
        <w:jc w:val="center"/>
        <w:rPr>
          <w:rFonts w:hint="default" w:ascii="宋体" w:hAnsi="宋体" w:eastAsia="宋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宋体" w:hAnsi="宋体" w:eastAsia="宋体" w:cs="Times New Roman"/>
          <w:b/>
          <w:color w:val="auto"/>
          <w:kern w:val="2"/>
          <w:sz w:val="32"/>
          <w:szCs w:val="32"/>
          <w:lang w:val="en-US" w:eastAsia="zh-CN" w:bidi="ar-SA"/>
        </w:rPr>
        <w:t>内外贸一体化试点工作方案基本要求</w:t>
      </w:r>
      <w:bookmarkEnd w:id="0"/>
    </w:p>
    <w:p>
      <w:pPr>
        <w:rPr>
          <w:rFonts w:hint="default" w:ascii="宋体" w:hAnsi="宋体" w:cs="Times New Roman"/>
          <w:color w:val="auto"/>
          <w:sz w:val="32"/>
          <w:szCs w:val="32"/>
        </w:rPr>
      </w:pP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宋体" w:hAnsi="宋体" w:cs="Times New Roman"/>
          <w:color w:val="auto"/>
          <w:sz w:val="32"/>
          <w:szCs w:val="32"/>
        </w:rPr>
        <w:t>　　试点工作方案应包括但不限于以下内容：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　　一、工作基础。</w:t>
      </w:r>
      <w:r>
        <w:rPr>
          <w:rFonts w:hint="default" w:ascii="宋体" w:hAnsi="宋体" w:cs="Times New Roman"/>
          <w:color w:val="auto"/>
          <w:sz w:val="32"/>
          <w:szCs w:val="32"/>
        </w:rPr>
        <w:t>本地区内外贸一体化发展情况，前期开展的工作，取得的成效，形成的经验做法（典型企业、典型案例、可复制推广的措施等）。试点重点产业、领域、地区、校企协同育人等方面具备的基础或优势。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　　二、试点目标。</w:t>
      </w:r>
      <w:r>
        <w:rPr>
          <w:rFonts w:hint="default" w:ascii="宋体" w:hAnsi="宋体" w:cs="Times New Roman"/>
          <w:color w:val="auto"/>
          <w:sz w:val="32"/>
          <w:szCs w:val="32"/>
        </w:rPr>
        <w:t>结合本地区实际提出试点工作目标，包含可评估、可量化的目标。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　　三、试点任务。</w:t>
      </w:r>
      <w:r>
        <w:rPr>
          <w:rFonts w:hint="default" w:ascii="宋体" w:hAnsi="宋体" w:cs="Times New Roman"/>
          <w:color w:val="auto"/>
          <w:sz w:val="32"/>
          <w:szCs w:val="32"/>
        </w:rPr>
        <w:t>本地区根据实际确定试点任务，包括但不限于《通知》提出的试点任务。试点任务及措施应有针对性、可操作性、创新性，与承担的国家重大改革创新任务、建设的改革创新平台、申报的创新发展试点等相结合，符合区域定位，体现产业特色，发挥基层部门、市场主体、行业组织等的积极性，工作计划及任务分工明确。</w:t>
      </w:r>
    </w:p>
    <w:p>
      <w:pPr>
        <w:rPr>
          <w:rFonts w:hint="default" w:ascii="宋体" w:hAnsi="宋体" w:cs="Times New Roman"/>
          <w:color w:val="auto"/>
          <w:sz w:val="32"/>
          <w:szCs w:val="32"/>
        </w:rPr>
      </w:pPr>
      <w:r>
        <w:rPr>
          <w:rFonts w:hint="default" w:ascii="宋体" w:hAnsi="宋体" w:cs="Times New Roman"/>
          <w:color w:val="auto"/>
          <w:sz w:val="32"/>
          <w:szCs w:val="32"/>
        </w:rPr>
        <w:t>　　</w:t>
      </w:r>
      <w:r>
        <w:rPr>
          <w:rFonts w:hint="default" w:ascii="宋体" w:hAnsi="宋体" w:cs="Times New Roman"/>
          <w:color w:val="auto"/>
          <w:sz w:val="32"/>
          <w:szCs w:val="32"/>
          <w:lang w:eastAsia="zh-CN"/>
        </w:rPr>
        <w:t>试点任务可以在本行政区全域内实施，也可以选择部分地区、选择重点任务分别实施。</w:t>
      </w:r>
    </w:p>
    <w:p>
      <w:r>
        <w:rPr>
          <w:rFonts w:hint="default" w:ascii="黑体" w:hAnsi="黑体" w:eastAsia="黑体" w:cs="黑体"/>
          <w:color w:val="auto"/>
          <w:sz w:val="32"/>
          <w:szCs w:val="32"/>
        </w:rPr>
        <w:t>　　四、保障措施。</w:t>
      </w:r>
      <w:r>
        <w:rPr>
          <w:rFonts w:hint="default" w:ascii="宋体" w:hAnsi="宋体" w:cs="Times New Roman"/>
          <w:color w:val="auto"/>
          <w:sz w:val="32"/>
          <w:szCs w:val="32"/>
        </w:rPr>
        <w:t>建立的工作机制，获得的中央特别授权或拟赋予下级地区、部门的管理权限，本地区政策、资金、人才等方面的支持。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宋体" w:hAnsi="宋体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FNAjDAQAAaQMAAA4AAABkcnMv&#10;ZTJvRG9jLnhtbK1TzW7bMAy+D9g7CLovdnIYAiNO0aJoMaDoBnR7AEWWYgGSKFBK7OwBtjfYaZfd&#10;91x5jlFKnO7nNvQiUyT18ftIenU1Osv2CqMB3/L5rOZMeQmd8duWf/p492bJWUzCd8KCVy0/qMiv&#10;1q9frYbQqAX0YDuFjEB8bIbQ8j6l0FRVlL1yIs4gKE9BDehEoituqw7FQOjOVou6flsNgF1AkCpG&#10;8t6egnxd8LVWMr3XOqrEbMuJWyonlnOTz2q9Es0WReiNPNMQ/8HCCeOp6AXqViTBdmj+gXJGIkTQ&#10;aSbBVaC1kapoIDXz+i81T70Iqmih5sRwaVN8OVj5uP+AzHQ0O868cDSi47evx+8/jz++sHluzxBi&#10;Q1lPgfLSeANjyxPu1BSK5M/CR40uf0kSoxTq9eHSXzUmJsk5Xy6Wy5pCkmLThUpUz88DxnSvwLFs&#10;tBxpgKWvYv8Q0yl1SsnVPNwZa8sQrf/DQZjZU2X6J47ZSuNmPGvaQHcgSbS7VKcH/MzZQHvQck+L&#10;ypl956nNeWUmAydjMxnCS3pI/eBsF9Bse0LSwsY8M0FVr3eJ+BXaufip4pkTzbMIP+9eXpjf7yXr&#10;+Q9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UQU0CMMBAABp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7E939"/>
    <w:rsid w:val="537B14A5"/>
    <w:rsid w:val="5F47E939"/>
    <w:rsid w:val="8CFA6C0C"/>
    <w:rsid w:val="9F7EDD21"/>
    <w:rsid w:val="D79F308E"/>
    <w:rsid w:val="EF273F06"/>
    <w:rsid w:val="FBDF8C60"/>
    <w:rsid w:val="FDE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Theme="minorEastAsia"/>
      <w:b/>
      <w:kern w:val="44"/>
      <w:sz w:val="36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一级标题"/>
    <w:basedOn w:val="1"/>
    <w:qFormat/>
    <w:uiPriority w:val="0"/>
    <w:rPr>
      <w:rFonts w:ascii="黑体" w:hAnsi="黑体" w:eastAsia="黑体"/>
    </w:rPr>
  </w:style>
  <w:style w:type="paragraph" w:customStyle="1" w:styleId="7">
    <w:name w:val="二级标题"/>
    <w:basedOn w:val="1"/>
    <w:qFormat/>
    <w:uiPriority w:val="0"/>
    <w:rPr>
      <w:rFonts w:ascii="楷体" w:hAnsi="楷体" w:eastAsia="楷体"/>
      <w:b/>
    </w:rPr>
  </w:style>
  <w:style w:type="paragraph" w:customStyle="1" w:styleId="8">
    <w:name w:val="文章标题"/>
    <w:basedOn w:val="1"/>
    <w:qFormat/>
    <w:uiPriority w:val="0"/>
    <w:pPr>
      <w:jc w:val="center"/>
    </w:pPr>
    <w:rPr>
      <w:rFonts w:asciiTheme="minorEastAsia" w:hAnsiTheme="minorEastAsia" w:eastAsiaTheme="minorEastAsia"/>
      <w:b/>
      <w:sz w:val="36"/>
    </w:rPr>
  </w:style>
  <w:style w:type="paragraph" w:customStyle="1" w:styleId="9">
    <w:name w:val="正标题"/>
    <w:basedOn w:val="1"/>
    <w:qFormat/>
    <w:uiPriority w:val="0"/>
    <w:pPr>
      <w:jc w:val="center"/>
    </w:pPr>
    <w:rPr>
      <w:rFonts w:ascii="仿宋" w:hAnsi="仿宋" w:eastAsia="方正小标宋_GBK"/>
      <w:sz w:val="36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2022-05-10T16:28:00Z</dcterms:created>
  <dc:creator>kylin</dc:creator>
  <cp:lastModifiedBy>kylin</cp:lastModifiedBy>
  <dcterms:modified xsi:type="dcterms:W3CDTF">2022-05-10T16:29:16Z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