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黑体" w:eastAsia="方正小标宋简体"/>
          <w:sz w:val="32"/>
          <w:szCs w:val="32"/>
        </w:rPr>
      </w:pPr>
    </w:p>
    <w:p>
      <w:pPr>
        <w:jc w:val="center"/>
        <w:rPr>
          <w:rFonts w:hint="eastAsia" w:ascii="方正小标宋简体" w:hAnsi="黑体" w:eastAsia="方正小标宋简体"/>
          <w:sz w:val="32"/>
          <w:szCs w:val="32"/>
        </w:rPr>
      </w:pPr>
      <w:r>
        <w:rPr>
          <w:rFonts w:hint="eastAsia" w:ascii="方正小标宋简体" w:hAnsi="黑体" w:eastAsia="方正小标宋简体"/>
          <w:sz w:val="32"/>
          <w:szCs w:val="32"/>
        </w:rPr>
        <w:t>山东省商务厅202</w:t>
      </w:r>
      <w:r>
        <w:rPr>
          <w:rFonts w:hint="eastAsia" w:ascii="方正小标宋简体" w:hAnsi="黑体" w:eastAsia="方正小标宋简体"/>
          <w:sz w:val="32"/>
          <w:szCs w:val="32"/>
          <w:lang w:val="en-US" w:eastAsia="zh-CN"/>
        </w:rPr>
        <w:t>3</w:t>
      </w:r>
      <w:r>
        <w:rPr>
          <w:rFonts w:hint="eastAsia" w:ascii="方正小标宋简体" w:hAnsi="黑体" w:eastAsia="方正小标宋简体"/>
          <w:sz w:val="32"/>
          <w:szCs w:val="32"/>
        </w:rPr>
        <w:t>年度行政执法数据统计表</w:t>
      </w:r>
    </w:p>
    <w:p>
      <w:pPr>
        <w:rPr>
          <w:rFonts w:hint="eastAsia" w:ascii="黑体" w:hAnsi="黑体" w:eastAsia="黑体"/>
          <w:sz w:val="32"/>
          <w:szCs w:val="32"/>
        </w:rPr>
      </w:pP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sz w:val="32"/>
          <w:szCs w:val="32"/>
        </w:rPr>
        <w:t>1</w:t>
      </w:r>
      <w:r>
        <w:rPr>
          <w:rFonts w:ascii="黑体" w:hAnsi="黑体" w:eastAsia="黑体"/>
          <w:sz w:val="32"/>
          <w:szCs w:val="32"/>
        </w:rPr>
        <w:t>.</w:t>
      </w:r>
      <w:r>
        <w:rPr>
          <w:rFonts w:hint="eastAsia" w:ascii="黑体" w:hAnsi="黑体" w:eastAsia="黑体"/>
          <w:sz w:val="32"/>
          <w:szCs w:val="32"/>
        </w:rPr>
        <w:t>山东省商务厅202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/>
          <w:sz w:val="32"/>
          <w:szCs w:val="32"/>
        </w:rPr>
        <w:t>年度行政许可情况统计表</w:t>
      </w:r>
    </w:p>
    <w:p>
      <w:pPr>
        <w:rPr>
          <w:rFonts w:hint="eastAsia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3"/>
        <w:gridCol w:w="1185"/>
        <w:gridCol w:w="2637"/>
        <w:gridCol w:w="3325"/>
        <w:gridCol w:w="49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873" w:type="dxa"/>
            <w:vMerge w:val="restart"/>
            <w:vAlign w:val="center"/>
          </w:tcPr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单位名称</w:t>
            </w:r>
          </w:p>
        </w:tc>
        <w:tc>
          <w:tcPr>
            <w:tcW w:w="7147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行政许可实施数量</w:t>
            </w:r>
          </w:p>
        </w:tc>
        <w:tc>
          <w:tcPr>
            <w:tcW w:w="4928" w:type="dxa"/>
            <w:vMerge w:val="restart"/>
          </w:tcPr>
          <w:p>
            <w:pPr>
              <w:jc w:val="center"/>
            </w:pP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楷体" w:hAnsi="楷体" w:eastAsia="楷体"/>
                <w:b/>
              </w:rPr>
              <w:t>撤销许可数量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873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/>
                <w:b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受理数量</w:t>
            </w:r>
          </w:p>
        </w:tc>
        <w:tc>
          <w:tcPr>
            <w:tcW w:w="2637" w:type="dxa"/>
            <w:vAlign w:val="center"/>
          </w:tcPr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许可数量</w:t>
            </w:r>
          </w:p>
        </w:tc>
        <w:tc>
          <w:tcPr>
            <w:tcW w:w="3325" w:type="dxa"/>
            <w:vAlign w:val="center"/>
          </w:tcPr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不予许可数量</w:t>
            </w:r>
          </w:p>
        </w:tc>
        <w:tc>
          <w:tcPr>
            <w:tcW w:w="4928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87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省商务厅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60066</w:t>
            </w:r>
          </w:p>
        </w:tc>
        <w:tc>
          <w:tcPr>
            <w:tcW w:w="263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60016</w:t>
            </w:r>
          </w:p>
        </w:tc>
        <w:tc>
          <w:tcPr>
            <w:tcW w:w="332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50</w:t>
            </w:r>
          </w:p>
        </w:tc>
        <w:tc>
          <w:tcPr>
            <w:tcW w:w="49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3948" w:type="dxa"/>
            <w:gridSpan w:val="5"/>
          </w:tcPr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填表说明：1.统计范围为2023年度1月1日至12月31日。</w:t>
            </w:r>
          </w:p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2.准予变更、延续和不予变更、延续的数量，分别计入“许可数量、不予许可数量”。</w:t>
            </w:r>
          </w:p>
        </w:tc>
      </w:tr>
    </w:tbl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山东省商务厅202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/>
          <w:sz w:val="32"/>
          <w:szCs w:val="32"/>
        </w:rPr>
        <w:t>年度行政处罚情况统计表</w:t>
      </w:r>
    </w:p>
    <w:tbl>
      <w:tblPr>
        <w:tblStyle w:val="5"/>
        <w:tblpPr w:leftFromText="180" w:rightFromText="180" w:vertAnchor="text" w:horzAnchor="page" w:tblpX="1424" w:tblpY="41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633"/>
        <w:gridCol w:w="625"/>
        <w:gridCol w:w="699"/>
        <w:gridCol w:w="678"/>
        <w:gridCol w:w="708"/>
        <w:gridCol w:w="545"/>
        <w:gridCol w:w="427"/>
        <w:gridCol w:w="530"/>
        <w:gridCol w:w="530"/>
        <w:gridCol w:w="530"/>
        <w:gridCol w:w="530"/>
        <w:gridCol w:w="530"/>
        <w:gridCol w:w="530"/>
        <w:gridCol w:w="530"/>
        <w:gridCol w:w="530"/>
        <w:gridCol w:w="778"/>
        <w:gridCol w:w="654"/>
        <w:gridCol w:w="654"/>
        <w:gridCol w:w="530"/>
        <w:gridCol w:w="530"/>
        <w:gridCol w:w="530"/>
        <w:gridCol w:w="5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88" w:type="dxa"/>
            <w:vMerge w:val="restart"/>
            <w:vAlign w:val="center"/>
          </w:tcPr>
          <w:p>
            <w:pPr>
              <w:jc w:val="both"/>
              <w:rPr>
                <w:rFonts w:ascii="楷体" w:hAnsi="楷体" w:eastAsia="楷体"/>
                <w:b/>
              </w:rPr>
            </w:pPr>
          </w:p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单位名称</w:t>
            </w:r>
          </w:p>
        </w:tc>
        <w:tc>
          <w:tcPr>
            <w:tcW w:w="9333" w:type="dxa"/>
            <w:gridSpan w:val="16"/>
          </w:tcPr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行政处罚实施数量</w:t>
            </w:r>
          </w:p>
        </w:tc>
        <w:tc>
          <w:tcPr>
            <w:tcW w:w="654" w:type="dxa"/>
            <w:vMerge w:val="restart"/>
          </w:tcPr>
          <w:p>
            <w:pPr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罚没金额(万元)</w:t>
            </w:r>
          </w:p>
        </w:tc>
        <w:tc>
          <w:tcPr>
            <w:tcW w:w="2244" w:type="dxa"/>
            <w:gridSpan w:val="4"/>
          </w:tcPr>
          <w:p>
            <w:pPr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被行政复议诉讼数量</w:t>
            </w:r>
          </w:p>
        </w:tc>
        <w:tc>
          <w:tcPr>
            <w:tcW w:w="530" w:type="dxa"/>
            <w:vMerge w:val="restart"/>
          </w:tcPr>
          <w:p>
            <w:pPr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移送司法机关数量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1188" w:type="dxa"/>
            <w:vMerge w:val="continue"/>
          </w:tcPr>
          <w:p>
            <w:pPr>
              <w:rPr>
                <w:rFonts w:ascii="楷体" w:hAnsi="楷体" w:eastAsia="楷体"/>
                <w:b/>
              </w:rPr>
            </w:pPr>
          </w:p>
        </w:tc>
        <w:tc>
          <w:tcPr>
            <w:tcW w:w="633" w:type="dxa"/>
            <w:vMerge w:val="restart"/>
          </w:tcPr>
          <w:p>
            <w:pPr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立案数量</w:t>
            </w:r>
          </w:p>
        </w:tc>
        <w:tc>
          <w:tcPr>
            <w:tcW w:w="625" w:type="dxa"/>
            <w:vMerge w:val="restart"/>
          </w:tcPr>
          <w:p>
            <w:pPr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结案数量</w:t>
            </w:r>
          </w:p>
        </w:tc>
        <w:tc>
          <w:tcPr>
            <w:tcW w:w="699" w:type="dxa"/>
            <w:vMerge w:val="restart"/>
          </w:tcPr>
          <w:p>
            <w:pPr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警告</w:t>
            </w:r>
          </w:p>
        </w:tc>
        <w:tc>
          <w:tcPr>
            <w:tcW w:w="678" w:type="dxa"/>
            <w:vMerge w:val="restart"/>
          </w:tcPr>
          <w:p>
            <w:pPr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通报</w:t>
            </w:r>
            <w:r>
              <w:rPr>
                <w:rFonts w:hint="eastAsia" w:ascii="楷体" w:hAnsi="楷体" w:eastAsia="楷体"/>
                <w:b/>
              </w:rPr>
              <w:br w:type="textWrapping"/>
            </w:r>
            <w:r>
              <w:rPr>
                <w:rFonts w:hint="eastAsia" w:ascii="楷体" w:hAnsi="楷体" w:eastAsia="楷体"/>
                <w:b/>
              </w:rPr>
              <w:t>批评</w:t>
            </w:r>
          </w:p>
        </w:tc>
        <w:tc>
          <w:tcPr>
            <w:tcW w:w="708" w:type="dxa"/>
            <w:vMerge w:val="restart"/>
          </w:tcPr>
          <w:p>
            <w:pPr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罚款</w:t>
            </w:r>
          </w:p>
        </w:tc>
        <w:tc>
          <w:tcPr>
            <w:tcW w:w="545" w:type="dxa"/>
            <w:vMerge w:val="restart"/>
          </w:tcPr>
          <w:p>
            <w:pPr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没收违法所得</w:t>
            </w:r>
          </w:p>
        </w:tc>
        <w:tc>
          <w:tcPr>
            <w:tcW w:w="427" w:type="dxa"/>
            <w:vMerge w:val="restart"/>
          </w:tcPr>
          <w:p>
            <w:pPr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没收非法财物</w:t>
            </w:r>
          </w:p>
        </w:tc>
        <w:tc>
          <w:tcPr>
            <w:tcW w:w="530" w:type="dxa"/>
            <w:vMerge w:val="restart"/>
          </w:tcPr>
          <w:p>
            <w:pPr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暂扣许可证件</w:t>
            </w:r>
          </w:p>
        </w:tc>
        <w:tc>
          <w:tcPr>
            <w:tcW w:w="530" w:type="dxa"/>
            <w:vMerge w:val="restart"/>
          </w:tcPr>
          <w:p>
            <w:pPr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降低资质等级</w:t>
            </w:r>
          </w:p>
        </w:tc>
        <w:tc>
          <w:tcPr>
            <w:tcW w:w="530" w:type="dxa"/>
            <w:vMerge w:val="restart"/>
          </w:tcPr>
          <w:p>
            <w:pPr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吊销许可证件</w:t>
            </w:r>
          </w:p>
        </w:tc>
        <w:tc>
          <w:tcPr>
            <w:tcW w:w="530" w:type="dxa"/>
            <w:vMerge w:val="restart"/>
          </w:tcPr>
          <w:p>
            <w:pPr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限制开展生产经营活动</w:t>
            </w:r>
          </w:p>
        </w:tc>
        <w:tc>
          <w:tcPr>
            <w:tcW w:w="530" w:type="dxa"/>
            <w:vMerge w:val="restart"/>
          </w:tcPr>
          <w:p>
            <w:pPr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责令停产停业</w:t>
            </w:r>
          </w:p>
        </w:tc>
        <w:tc>
          <w:tcPr>
            <w:tcW w:w="530" w:type="dxa"/>
            <w:vMerge w:val="restart"/>
          </w:tcPr>
          <w:p>
            <w:pPr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责令</w:t>
            </w:r>
            <w:r>
              <w:rPr>
                <w:rFonts w:hint="eastAsia" w:ascii="楷体" w:hAnsi="楷体" w:eastAsia="楷体"/>
                <w:b/>
              </w:rPr>
              <w:br w:type="textWrapping"/>
            </w:r>
            <w:r>
              <w:rPr>
                <w:rFonts w:hint="eastAsia" w:ascii="楷体" w:hAnsi="楷体" w:eastAsia="楷体"/>
                <w:b/>
              </w:rPr>
              <w:t>关闭</w:t>
            </w:r>
          </w:p>
        </w:tc>
        <w:tc>
          <w:tcPr>
            <w:tcW w:w="530" w:type="dxa"/>
            <w:vMerge w:val="restart"/>
          </w:tcPr>
          <w:p>
            <w:pPr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限制</w:t>
            </w:r>
            <w:r>
              <w:rPr>
                <w:rFonts w:hint="eastAsia" w:ascii="楷体" w:hAnsi="楷体" w:eastAsia="楷体"/>
                <w:b/>
              </w:rPr>
              <w:br w:type="textWrapping"/>
            </w:r>
            <w:r>
              <w:rPr>
                <w:rFonts w:hint="eastAsia" w:ascii="楷体" w:hAnsi="楷体" w:eastAsia="楷体"/>
                <w:b/>
              </w:rPr>
              <w:t>从业</w:t>
            </w:r>
          </w:p>
        </w:tc>
        <w:tc>
          <w:tcPr>
            <w:tcW w:w="530" w:type="dxa"/>
            <w:vMerge w:val="restart"/>
          </w:tcPr>
          <w:p>
            <w:pPr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行政</w:t>
            </w:r>
            <w:r>
              <w:rPr>
                <w:rFonts w:hint="eastAsia" w:ascii="楷体" w:hAnsi="楷体" w:eastAsia="楷体"/>
                <w:b/>
              </w:rPr>
              <w:br w:type="textWrapping"/>
            </w:r>
            <w:r>
              <w:rPr>
                <w:rFonts w:hint="eastAsia" w:ascii="楷体" w:hAnsi="楷体" w:eastAsia="楷体"/>
                <w:b/>
              </w:rPr>
              <w:t>拘留</w:t>
            </w:r>
          </w:p>
        </w:tc>
        <w:tc>
          <w:tcPr>
            <w:tcW w:w="778" w:type="dxa"/>
            <w:vMerge w:val="restart"/>
          </w:tcPr>
          <w:p>
            <w:pPr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其他行政处罚</w:t>
            </w:r>
          </w:p>
        </w:tc>
        <w:tc>
          <w:tcPr>
            <w:tcW w:w="654" w:type="dxa"/>
            <w:vMerge w:val="continue"/>
          </w:tcPr>
          <w:p>
            <w:pPr>
              <w:rPr>
                <w:rFonts w:ascii="楷体" w:hAnsi="楷体" w:eastAsia="楷体"/>
                <w:b/>
              </w:rPr>
            </w:pPr>
          </w:p>
        </w:tc>
        <w:tc>
          <w:tcPr>
            <w:tcW w:w="654" w:type="dxa"/>
            <w:vMerge w:val="restart"/>
          </w:tcPr>
          <w:p>
            <w:pPr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被行政复议数量</w:t>
            </w:r>
          </w:p>
        </w:tc>
        <w:tc>
          <w:tcPr>
            <w:tcW w:w="530" w:type="dxa"/>
            <w:vMerge w:val="restart"/>
          </w:tcPr>
          <w:p>
            <w:pPr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被行政复议纠错数量</w:t>
            </w:r>
          </w:p>
        </w:tc>
        <w:tc>
          <w:tcPr>
            <w:tcW w:w="530" w:type="dxa"/>
            <w:vMerge w:val="restart"/>
          </w:tcPr>
          <w:p>
            <w:pPr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被行政诉讼数量</w:t>
            </w:r>
          </w:p>
        </w:tc>
        <w:tc>
          <w:tcPr>
            <w:tcW w:w="530" w:type="dxa"/>
            <w:vMerge w:val="restart"/>
          </w:tcPr>
          <w:p>
            <w:pPr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行政诉讼败诉数量</w:t>
            </w:r>
          </w:p>
        </w:tc>
        <w:tc>
          <w:tcPr>
            <w:tcW w:w="530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8" w:type="dxa"/>
            <w:vMerge w:val="continue"/>
          </w:tcPr>
          <w:p/>
        </w:tc>
        <w:tc>
          <w:tcPr>
            <w:tcW w:w="633" w:type="dxa"/>
            <w:vMerge w:val="continue"/>
          </w:tcPr>
          <w:p/>
        </w:tc>
        <w:tc>
          <w:tcPr>
            <w:tcW w:w="625" w:type="dxa"/>
            <w:vMerge w:val="continue"/>
          </w:tcPr>
          <w:p/>
        </w:tc>
        <w:tc>
          <w:tcPr>
            <w:tcW w:w="699" w:type="dxa"/>
            <w:vMerge w:val="continue"/>
          </w:tcPr>
          <w:p/>
        </w:tc>
        <w:tc>
          <w:tcPr>
            <w:tcW w:w="678" w:type="dxa"/>
            <w:vMerge w:val="continue"/>
          </w:tcPr>
          <w:p/>
        </w:tc>
        <w:tc>
          <w:tcPr>
            <w:tcW w:w="708" w:type="dxa"/>
            <w:vMerge w:val="continue"/>
          </w:tcPr>
          <w:p/>
        </w:tc>
        <w:tc>
          <w:tcPr>
            <w:tcW w:w="545" w:type="dxa"/>
            <w:vMerge w:val="continue"/>
          </w:tcPr>
          <w:p/>
        </w:tc>
        <w:tc>
          <w:tcPr>
            <w:tcW w:w="427" w:type="dxa"/>
            <w:vMerge w:val="continue"/>
          </w:tcPr>
          <w:p/>
        </w:tc>
        <w:tc>
          <w:tcPr>
            <w:tcW w:w="530" w:type="dxa"/>
            <w:vMerge w:val="continue"/>
          </w:tcPr>
          <w:p/>
        </w:tc>
        <w:tc>
          <w:tcPr>
            <w:tcW w:w="530" w:type="dxa"/>
            <w:vMerge w:val="continue"/>
          </w:tcPr>
          <w:p/>
        </w:tc>
        <w:tc>
          <w:tcPr>
            <w:tcW w:w="530" w:type="dxa"/>
            <w:vMerge w:val="continue"/>
          </w:tcPr>
          <w:p/>
        </w:tc>
        <w:tc>
          <w:tcPr>
            <w:tcW w:w="530" w:type="dxa"/>
            <w:vMerge w:val="continue"/>
          </w:tcPr>
          <w:p/>
        </w:tc>
        <w:tc>
          <w:tcPr>
            <w:tcW w:w="530" w:type="dxa"/>
            <w:vMerge w:val="continue"/>
          </w:tcPr>
          <w:p/>
        </w:tc>
        <w:tc>
          <w:tcPr>
            <w:tcW w:w="530" w:type="dxa"/>
            <w:vMerge w:val="continue"/>
          </w:tcPr>
          <w:p/>
        </w:tc>
        <w:tc>
          <w:tcPr>
            <w:tcW w:w="530" w:type="dxa"/>
            <w:vMerge w:val="continue"/>
          </w:tcPr>
          <w:p/>
        </w:tc>
        <w:tc>
          <w:tcPr>
            <w:tcW w:w="530" w:type="dxa"/>
            <w:vMerge w:val="continue"/>
          </w:tcPr>
          <w:p/>
        </w:tc>
        <w:tc>
          <w:tcPr>
            <w:tcW w:w="778" w:type="dxa"/>
            <w:vMerge w:val="continue"/>
          </w:tcPr>
          <w:p/>
        </w:tc>
        <w:tc>
          <w:tcPr>
            <w:tcW w:w="654" w:type="dxa"/>
            <w:vMerge w:val="continue"/>
          </w:tcPr>
          <w:p/>
        </w:tc>
        <w:tc>
          <w:tcPr>
            <w:tcW w:w="654" w:type="dxa"/>
            <w:vMerge w:val="continue"/>
          </w:tcPr>
          <w:p/>
        </w:tc>
        <w:tc>
          <w:tcPr>
            <w:tcW w:w="530" w:type="dxa"/>
            <w:vMerge w:val="continue"/>
          </w:tcPr>
          <w:p/>
        </w:tc>
        <w:tc>
          <w:tcPr>
            <w:tcW w:w="530" w:type="dxa"/>
            <w:vMerge w:val="continue"/>
          </w:tcPr>
          <w:p/>
        </w:tc>
        <w:tc>
          <w:tcPr>
            <w:tcW w:w="530" w:type="dxa"/>
            <w:vMerge w:val="continue"/>
          </w:tcPr>
          <w:p/>
        </w:tc>
        <w:tc>
          <w:tcPr>
            <w:tcW w:w="530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118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省商务厅</w:t>
            </w:r>
          </w:p>
        </w:tc>
        <w:tc>
          <w:tcPr>
            <w:tcW w:w="6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</w:t>
            </w:r>
          </w:p>
        </w:tc>
        <w:tc>
          <w:tcPr>
            <w:tcW w:w="6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</w:t>
            </w:r>
          </w:p>
        </w:tc>
        <w:tc>
          <w:tcPr>
            <w:tcW w:w="69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5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42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53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53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53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53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53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53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53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53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77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65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0</w:t>
            </w:r>
          </w:p>
        </w:tc>
        <w:tc>
          <w:tcPr>
            <w:tcW w:w="53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53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0</w:t>
            </w:r>
          </w:p>
        </w:tc>
        <w:tc>
          <w:tcPr>
            <w:tcW w:w="53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53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3949" w:type="dxa"/>
            <w:gridSpan w:val="23"/>
            <w:noWrap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填表说明：统计范围为2023年度1月1日至12月31日。</w:t>
            </w:r>
          </w:p>
        </w:tc>
      </w:tr>
    </w:tbl>
    <w:p>
      <w:pPr>
        <w:numPr>
          <w:ilvl w:val="0"/>
          <w:numId w:val="0"/>
        </w:numPr>
        <w:rPr>
          <w:rFonts w:hint="eastAsia" w:ascii="黑体" w:hAnsi="黑体" w:eastAsia="黑体"/>
          <w:sz w:val="32"/>
          <w:szCs w:val="32"/>
        </w:rPr>
      </w:pPr>
    </w:p>
    <w:p/>
    <w:p/>
    <w:p>
      <w:pPr>
        <w:rPr>
          <w:rFonts w:hint="eastAsia"/>
        </w:rPr>
      </w:pPr>
    </w:p>
    <w:p/>
    <w:p/>
    <w:p/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3．山东省商务厅202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/>
          <w:sz w:val="32"/>
          <w:szCs w:val="32"/>
        </w:rPr>
        <w:t>年度行政强制情况统计表</w:t>
      </w:r>
    </w:p>
    <w:p>
      <w:pPr>
        <w:rPr>
          <w:rFonts w:hint="eastAsia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987"/>
        <w:gridCol w:w="804"/>
        <w:gridCol w:w="747"/>
        <w:gridCol w:w="807"/>
        <w:gridCol w:w="760"/>
        <w:gridCol w:w="971"/>
        <w:gridCol w:w="819"/>
        <w:gridCol w:w="1187"/>
        <w:gridCol w:w="752"/>
        <w:gridCol w:w="807"/>
        <w:gridCol w:w="1134"/>
        <w:gridCol w:w="921"/>
        <w:gridCol w:w="1390"/>
        <w:gridCol w:w="13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6" w:type="dxa"/>
            <w:vMerge w:val="restart"/>
          </w:tcPr>
          <w:p>
            <w:pPr>
              <w:jc w:val="center"/>
              <w:rPr>
                <w:rFonts w:ascii="楷体" w:hAnsi="楷体" w:eastAsia="楷体"/>
                <w:b/>
              </w:rPr>
            </w:pPr>
          </w:p>
          <w:p>
            <w:pPr>
              <w:jc w:val="center"/>
              <w:rPr>
                <w:rFonts w:ascii="楷体" w:hAnsi="楷体" w:eastAsia="楷体"/>
                <w:b/>
              </w:rPr>
            </w:pPr>
          </w:p>
          <w:p>
            <w:pPr>
              <w:jc w:val="center"/>
              <w:rPr>
                <w:rFonts w:ascii="楷体" w:hAnsi="楷体" w:eastAsia="楷体"/>
                <w:b/>
              </w:rPr>
            </w:pPr>
          </w:p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单位名称</w:t>
            </w:r>
          </w:p>
        </w:tc>
        <w:tc>
          <w:tcPr>
            <w:tcW w:w="4105" w:type="dxa"/>
            <w:gridSpan w:val="5"/>
            <w:vMerge w:val="restart"/>
            <w:vAlign w:val="center"/>
          </w:tcPr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行政强制措施实施数量</w:t>
            </w:r>
          </w:p>
        </w:tc>
        <w:tc>
          <w:tcPr>
            <w:tcW w:w="7981" w:type="dxa"/>
            <w:gridSpan w:val="8"/>
            <w:vMerge w:val="restart"/>
            <w:vAlign w:val="center"/>
          </w:tcPr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行政强制执行实施数量</w:t>
            </w:r>
          </w:p>
        </w:tc>
        <w:tc>
          <w:tcPr>
            <w:tcW w:w="1390" w:type="dxa"/>
            <w:vMerge w:val="restart"/>
          </w:tcPr>
          <w:p>
            <w:pPr>
              <w:rPr>
                <w:rFonts w:ascii="楷体" w:hAnsi="楷体" w:eastAsia="楷体"/>
                <w:b/>
              </w:rPr>
            </w:pPr>
          </w:p>
          <w:p>
            <w:pPr>
              <w:rPr>
                <w:rFonts w:ascii="楷体" w:hAnsi="楷体" w:eastAsia="楷体"/>
                <w:b/>
              </w:rPr>
            </w:pPr>
          </w:p>
          <w:p>
            <w:pPr>
              <w:rPr>
                <w:rFonts w:ascii="楷体" w:hAnsi="楷体" w:eastAsia="楷体"/>
                <w:b/>
              </w:rPr>
            </w:pPr>
          </w:p>
          <w:p>
            <w:pPr>
              <w:rPr>
                <w:rFonts w:ascii="楷体" w:hAnsi="楷体" w:eastAsia="楷体"/>
                <w:b/>
              </w:rPr>
            </w:pPr>
          </w:p>
          <w:p>
            <w:pPr>
              <w:rPr>
                <w:rFonts w:ascii="楷体" w:hAnsi="楷体" w:eastAsia="楷体"/>
                <w:b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楷体" w:hAnsi="楷体" w:eastAsia="楷体"/>
                <w:b/>
              </w:rPr>
              <w:t>合计（件）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6" w:type="dxa"/>
            <w:vMerge w:val="continue"/>
          </w:tcPr>
          <w:p/>
        </w:tc>
        <w:tc>
          <w:tcPr>
            <w:tcW w:w="4105" w:type="dxa"/>
            <w:gridSpan w:val="5"/>
            <w:vMerge w:val="continue"/>
          </w:tcPr>
          <w:p/>
        </w:tc>
        <w:tc>
          <w:tcPr>
            <w:tcW w:w="7981" w:type="dxa"/>
            <w:gridSpan w:val="8"/>
            <w:vMerge w:val="continue"/>
          </w:tcPr>
          <w:p/>
        </w:tc>
        <w:tc>
          <w:tcPr>
            <w:tcW w:w="1390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4" w:hRule="atLeast"/>
        </w:trPr>
        <w:tc>
          <w:tcPr>
            <w:tcW w:w="426" w:type="dxa"/>
            <w:vMerge w:val="continue"/>
          </w:tcPr>
          <w:p/>
        </w:tc>
        <w:tc>
          <w:tcPr>
            <w:tcW w:w="987" w:type="dxa"/>
          </w:tcPr>
          <w:p>
            <w:pPr>
              <w:jc w:val="center"/>
              <w:rPr>
                <w:rFonts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查封场所、设施或者财物（件）</w:t>
            </w:r>
          </w:p>
        </w:tc>
        <w:tc>
          <w:tcPr>
            <w:tcW w:w="804" w:type="dxa"/>
          </w:tcPr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扣押财物</w:t>
            </w:r>
          </w:p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（件）</w:t>
            </w:r>
          </w:p>
        </w:tc>
        <w:tc>
          <w:tcPr>
            <w:tcW w:w="747" w:type="dxa"/>
          </w:tcPr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冻结存款、汇款（件）</w:t>
            </w:r>
          </w:p>
        </w:tc>
        <w:tc>
          <w:tcPr>
            <w:tcW w:w="807" w:type="dxa"/>
          </w:tcPr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其他行政强制措施（件）</w:t>
            </w:r>
          </w:p>
        </w:tc>
        <w:tc>
          <w:tcPr>
            <w:tcW w:w="760" w:type="dxa"/>
          </w:tcPr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合计（件）</w:t>
            </w:r>
          </w:p>
        </w:tc>
        <w:tc>
          <w:tcPr>
            <w:tcW w:w="971" w:type="dxa"/>
          </w:tcPr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加处罚款或者滞纳金（件）</w:t>
            </w:r>
          </w:p>
        </w:tc>
        <w:tc>
          <w:tcPr>
            <w:tcW w:w="819" w:type="dxa"/>
          </w:tcPr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划拨存款、汇款（件）</w:t>
            </w:r>
          </w:p>
        </w:tc>
        <w:tc>
          <w:tcPr>
            <w:tcW w:w="1187" w:type="dxa"/>
          </w:tcPr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拍卖或者依法处理查封、扣押的场所、设施或者财物（件）</w:t>
            </w:r>
          </w:p>
        </w:tc>
        <w:tc>
          <w:tcPr>
            <w:tcW w:w="752" w:type="dxa"/>
          </w:tcPr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排除妨碍、恢复原状（件）</w:t>
            </w:r>
          </w:p>
        </w:tc>
        <w:tc>
          <w:tcPr>
            <w:tcW w:w="807" w:type="dxa"/>
          </w:tcPr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代履行（件）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其他强制执行（件）</w:t>
            </w:r>
          </w:p>
        </w:tc>
        <w:tc>
          <w:tcPr>
            <w:tcW w:w="921" w:type="dxa"/>
          </w:tcPr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合计（件）</w:t>
            </w:r>
          </w:p>
        </w:tc>
        <w:tc>
          <w:tcPr>
            <w:tcW w:w="1390" w:type="dxa"/>
          </w:tcPr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申请法院强制执行数量（件）</w:t>
            </w:r>
          </w:p>
        </w:tc>
        <w:tc>
          <w:tcPr>
            <w:tcW w:w="1390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426" w:type="dxa"/>
          </w:tcPr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省商务厅</w:t>
            </w: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7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81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118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4" w:hRule="atLeast"/>
        </w:trPr>
        <w:tc>
          <w:tcPr>
            <w:tcW w:w="13902" w:type="dxa"/>
            <w:gridSpan w:val="15"/>
          </w:tcPr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填表说明：1.统计范围为本年度1月1日至12月31日。</w:t>
            </w:r>
          </w:p>
          <w:p>
            <w:pPr>
              <w:numPr>
                <w:ilvl w:val="0"/>
                <w:numId w:val="2"/>
              </w:num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行政强制措施实施数量是指作出“查封场所、设施或者财物、扣押财物、冻结存款、汇款或  者其他行政强制措施”决定的数量。 </w:t>
            </w:r>
          </w:p>
          <w:p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行政强制执行实施数量是指“加处罚款或者滞纳金、划拨存款、汇款、拍卖或者依法处理查封、扣押的场所、设施或者财物、 排除妨碍、恢复原状、代履行和其他强制执行方式”等执行完毕或者终结执行的数量。</w:t>
            </w:r>
          </w:p>
          <w:p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其他强制执行方式，如《城乡规划法》规定的强制拆除；《煤炭法》规定的强制停产、强制消除安全隐患；《金银管理条例》规定的强制收购；《外汇管理条例》规定的回兑等。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5.申请法院强制执行数量是指向法院申请强制执行的数量，时间以申请日期为准。</w:t>
            </w:r>
          </w:p>
        </w:tc>
      </w:tr>
    </w:tbl>
    <w:p/>
    <w:p>
      <w:pPr>
        <w:rPr>
          <w:rFonts w:hint="eastAsia" w:ascii="黑体" w:hAnsi="黑体" w:eastAsia="黑体"/>
          <w:sz w:val="32"/>
          <w:szCs w:val="32"/>
        </w:rPr>
      </w:pP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4．山东省商务厅202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/>
          <w:sz w:val="32"/>
          <w:szCs w:val="32"/>
        </w:rPr>
        <w:t>年度行政征收征用情况统计表</w:t>
      </w:r>
    </w:p>
    <w:p>
      <w:pPr>
        <w:rPr>
          <w:rFonts w:hint="eastAsia" w:ascii="黑体" w:hAnsi="黑体" w:eastAsia="黑体"/>
          <w:sz w:val="32"/>
          <w:szCs w:val="32"/>
        </w:rPr>
      </w:pPr>
    </w:p>
    <w:tbl>
      <w:tblPr>
        <w:tblStyle w:val="5"/>
        <w:tblpPr w:leftFromText="180" w:rightFromText="180" w:vertAnchor="page" w:horzAnchor="page" w:tblpX="1424" w:tblpY="346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6"/>
        <w:gridCol w:w="2380"/>
        <w:gridCol w:w="2440"/>
        <w:gridCol w:w="1900"/>
        <w:gridCol w:w="20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456" w:type="dxa"/>
            <w:vMerge w:val="restart"/>
            <w:vAlign w:val="center"/>
          </w:tcPr>
          <w:p>
            <w:pPr>
              <w:jc w:val="center"/>
              <w:rPr>
                <w:rFonts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单位名称</w:t>
            </w:r>
          </w:p>
        </w:tc>
        <w:tc>
          <w:tcPr>
            <w:tcW w:w="6720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行政征收数量</w:t>
            </w:r>
          </w:p>
        </w:tc>
        <w:tc>
          <w:tcPr>
            <w:tcW w:w="2002" w:type="dxa"/>
            <w:vMerge w:val="restart"/>
          </w:tcPr>
          <w:p>
            <w:pPr>
              <w:jc w:val="center"/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楷体" w:hAnsi="楷体" w:eastAsia="楷体"/>
                <w:b/>
              </w:rPr>
              <w:t>行政征用数量（件）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456" w:type="dxa"/>
            <w:vMerge w:val="continue"/>
          </w:tcPr>
          <w:p>
            <w:pPr>
              <w:jc w:val="center"/>
              <w:rPr>
                <w:rFonts w:ascii="楷体" w:hAnsi="楷体" w:eastAsia="楷体"/>
                <w:b/>
              </w:rPr>
            </w:pPr>
          </w:p>
        </w:tc>
        <w:tc>
          <w:tcPr>
            <w:tcW w:w="2380" w:type="dxa"/>
          </w:tcPr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行政收费（次）</w:t>
            </w:r>
          </w:p>
        </w:tc>
        <w:tc>
          <w:tcPr>
            <w:tcW w:w="2440" w:type="dxa"/>
          </w:tcPr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行政收费数额（万元）</w:t>
            </w:r>
          </w:p>
        </w:tc>
        <w:tc>
          <w:tcPr>
            <w:tcW w:w="1900" w:type="dxa"/>
          </w:tcPr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土地、房屋征收数量（件）</w:t>
            </w:r>
          </w:p>
        </w:tc>
        <w:tc>
          <w:tcPr>
            <w:tcW w:w="2002" w:type="dxa"/>
            <w:vMerge w:val="continue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45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省商务厅</w:t>
            </w:r>
          </w:p>
        </w:tc>
        <w:tc>
          <w:tcPr>
            <w:tcW w:w="23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24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19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  <w:tc>
          <w:tcPr>
            <w:tcW w:w="200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178" w:type="dxa"/>
            <w:gridSpan w:val="5"/>
            <w:vMerge w:val="restart"/>
          </w:tcPr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填表说明：1.统计范围为本年度 1月1日至12月31日。</w:t>
            </w:r>
            <w:r>
              <w:rPr>
                <w:rFonts w:hint="eastAsia" w:ascii="仿宋_GB2312" w:hAnsi="仿宋_GB2312" w:eastAsia="仿宋_GB2312" w:cs="仿宋_GB231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</w:rPr>
              <w:t>2.行政征收主要是指行政机关行政收费及土地、房产征收等情况。土地、房屋征收数量的统计，以政府正式批文为准。（因征税属于中央垂直管理，不列入我省统计范围）。行政征用数量是指因抢险、救灾、反恐等公共利益需要而作出的行政征用决定的数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3178" w:type="dxa"/>
            <w:gridSpan w:val="5"/>
            <w:vMerge w:val="continue"/>
          </w:tcPr>
          <w:p/>
        </w:tc>
      </w:tr>
    </w:tbl>
    <w:p>
      <w:pPr>
        <w:rPr>
          <w:rFonts w:hint="eastAsia"/>
        </w:rPr>
      </w:pPr>
    </w:p>
    <w:p/>
    <w:p>
      <w:pPr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>
      <w:pPr>
        <w:rPr>
          <w:rFonts w:hint="eastAsia" w:ascii="黑体" w:hAnsi="黑体" w:eastAsia="黑体"/>
          <w:sz w:val="32"/>
          <w:szCs w:val="32"/>
        </w:rPr>
      </w:pP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5．山东省商务厅202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/>
          <w:sz w:val="32"/>
          <w:szCs w:val="32"/>
        </w:rPr>
        <w:t>年度行政检查情况统计表</w:t>
      </w:r>
    </w:p>
    <w:p>
      <w:pPr>
        <w:ind w:firstLine="420" w:firstLineChars="200"/>
        <w:rPr>
          <w:rFonts w:hint="eastAsia"/>
        </w:rPr>
      </w:pPr>
    </w:p>
    <w:tbl>
      <w:tblPr>
        <w:tblStyle w:val="5"/>
        <w:tblpPr w:leftFromText="180" w:rightFromText="180" w:vertAnchor="text" w:horzAnchor="page" w:tblpX="1445" w:tblpY="19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0"/>
        <w:gridCol w:w="93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3820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单位名称</w:t>
            </w:r>
          </w:p>
        </w:tc>
        <w:tc>
          <w:tcPr>
            <w:tcW w:w="9358" w:type="dxa"/>
            <w:vAlign w:val="center"/>
          </w:tcPr>
          <w:p>
            <w:pPr>
              <w:jc w:val="center"/>
              <w:rPr>
                <w:rFonts w:hint="eastAsia"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行政检查实施次数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38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省商务厅</w:t>
            </w:r>
          </w:p>
        </w:tc>
        <w:tc>
          <w:tcPr>
            <w:tcW w:w="9358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1084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</w:trPr>
        <w:tc>
          <w:tcPr>
            <w:tcW w:w="13178" w:type="dxa"/>
            <w:gridSpan w:val="2"/>
            <w:vMerge w:val="restart"/>
          </w:tcPr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填表说明：1.统计范围为本年度 1月1日至12月31日。</w:t>
            </w:r>
            <w:r>
              <w:rPr>
                <w:rFonts w:hint="eastAsia" w:ascii="仿宋_GB2312" w:hAnsi="仿宋_GB2312" w:eastAsia="仿宋_GB2312" w:cs="仿宋_GB231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</w:rPr>
              <w:t>2.行政检查的次数是指检查1个检查对象，有完整、详细的检查记录，计为检查1次。无特定检查对象的巡查、巡逻，无完整、详细检查记录，检查后作出行政处罚等其他行政执法行为的，均不计为检查次数。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178" w:type="dxa"/>
            <w:gridSpan w:val="2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178" w:type="dxa"/>
            <w:gridSpan w:val="2"/>
            <w:vMerge w:val="continue"/>
          </w:tcPr>
          <w:p/>
        </w:tc>
      </w:tr>
    </w:tbl>
    <w:p/>
    <w:p/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1C204B"/>
    <w:multiLevelType w:val="singleLevel"/>
    <w:tmpl w:val="DF1C204B"/>
    <w:lvl w:ilvl="0" w:tentative="0">
      <w:start w:val="2"/>
      <w:numFmt w:val="decimal"/>
      <w:suff w:val="nothing"/>
      <w:lvlText w:val="%1．"/>
      <w:lvlJc w:val="left"/>
    </w:lvl>
  </w:abstractNum>
  <w:abstractNum w:abstractNumId="1">
    <w:nsid w:val="FEFF39BB"/>
    <w:multiLevelType w:val="singleLevel"/>
    <w:tmpl w:val="FEFF39BB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31A"/>
    <w:rsid w:val="001F531A"/>
    <w:rsid w:val="0022249B"/>
    <w:rsid w:val="00245DA0"/>
    <w:rsid w:val="006D5A8D"/>
    <w:rsid w:val="007E1ABA"/>
    <w:rsid w:val="009F7749"/>
    <w:rsid w:val="00B76709"/>
    <w:rsid w:val="00C6713B"/>
    <w:rsid w:val="00D74C4A"/>
    <w:rsid w:val="00DD16C3"/>
    <w:rsid w:val="00F948BA"/>
    <w:rsid w:val="31C57AD7"/>
    <w:rsid w:val="6DDBA25A"/>
    <w:rsid w:val="7E2FDFF5"/>
    <w:rsid w:val="7E7FF2ED"/>
    <w:rsid w:val="CBBF83A7"/>
    <w:rsid w:val="D3C69891"/>
    <w:rsid w:val="F1FC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230</Words>
  <Characters>1316</Characters>
  <Lines>10</Lines>
  <Paragraphs>3</Paragraphs>
  <TotalTime>18</TotalTime>
  <ScaleCrop>false</ScaleCrop>
  <LinksUpToDate>false</LinksUpToDate>
  <CharactersWithSpaces>1543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2022-01-28T11:40:00Z</dcterms:created>
  <dc:creator>user</dc:creator>
  <cp:lastModifiedBy>Quinn</cp:lastModifiedBy>
  <dcterms:modified xsi:type="dcterms:W3CDTF">2024-01-19T03:00:09Z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2CCD22330AEC4B0EB2101878AF355223_13</vt:lpwstr>
  </property>
</Properties>
</file>