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D2DA4B">
      <w:pPr>
        <w:adjustRightInd w:val="0"/>
        <w:snapToGrid w:val="0"/>
        <w:spacing w:line="600" w:lineRule="exact"/>
        <w:rPr>
          <w:rFonts w:hint="eastAsia"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 xml:space="preserve">附件1 </w:t>
      </w:r>
    </w:p>
    <w:p w14:paraId="1619661B">
      <w:pPr>
        <w:adjustRightInd w:val="0"/>
        <w:snapToGrid w:val="0"/>
        <w:spacing w:line="600" w:lineRule="exact"/>
        <w:rPr>
          <w:rFonts w:hint="eastAsia" w:ascii="黑体" w:hAnsi="黑体" w:eastAsia="黑体" w:cs="黑体"/>
          <w:szCs w:val="32"/>
        </w:rPr>
      </w:pPr>
    </w:p>
    <w:p w14:paraId="50329C04">
      <w:pPr>
        <w:adjustRightInd w:val="0"/>
        <w:snapToGrid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“鲁贸优品”项目选品基本要求</w:t>
      </w:r>
    </w:p>
    <w:p w14:paraId="4D5DAC98">
      <w:pPr>
        <w:widowControl/>
        <w:adjustRightInd w:val="0"/>
        <w:snapToGrid w:val="0"/>
        <w:spacing w:line="600" w:lineRule="exact"/>
        <w:jc w:val="left"/>
        <w:rPr>
          <w:rFonts w:hint="eastAsia" w:ascii="楷体_GB2312" w:hAnsi="楷体_GB2312" w:eastAsia="楷体_GB2312" w:cs="楷体_GB2312"/>
          <w:szCs w:val="32"/>
        </w:rPr>
      </w:pPr>
    </w:p>
    <w:p w14:paraId="3C767B3E">
      <w:pPr>
        <w:widowControl/>
        <w:adjustRightInd w:val="0"/>
        <w:snapToGrid w:val="0"/>
        <w:spacing w:line="600" w:lineRule="exact"/>
        <w:ind w:firstLine="640" w:firstLineChars="200"/>
        <w:jc w:val="left"/>
        <w:rPr>
          <w:rFonts w:hint="eastAsia" w:ascii="仿宋_GB2312" w:hAnsi="仿宋_GB2312" w:eastAsia="黑体" w:cs="仿宋_GB2312"/>
          <w:szCs w:val="32"/>
        </w:rPr>
      </w:pPr>
      <w:r>
        <w:rPr>
          <w:rFonts w:hint="eastAsia" w:ascii="黑体" w:hAnsi="黑体" w:eastAsia="黑体" w:cs="黑体"/>
          <w:szCs w:val="32"/>
        </w:rPr>
        <w:t>一、企业资质方面</w:t>
      </w:r>
    </w:p>
    <w:p w14:paraId="1101D6D6">
      <w:pPr>
        <w:widowControl/>
        <w:adjustRightInd w:val="0"/>
        <w:snapToGrid w:val="0"/>
        <w:spacing w:line="600" w:lineRule="exact"/>
        <w:ind w:firstLine="640" w:firstLineChars="200"/>
        <w:jc w:val="left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（一）在山东省内注册，具有独立法人资格，经营状况正常，无重大违法违规及失信记录。</w:t>
      </w:r>
    </w:p>
    <w:p w14:paraId="08553BB6">
      <w:pPr>
        <w:widowControl/>
        <w:adjustRightInd w:val="0"/>
        <w:snapToGrid w:val="0"/>
        <w:spacing w:line="600" w:lineRule="exact"/>
        <w:ind w:firstLine="640" w:firstLineChars="200"/>
        <w:jc w:val="left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（二）具备稳定的生产能力与质量管理体系，能够保障订单交付的时效性与一致性。</w:t>
      </w:r>
    </w:p>
    <w:p w14:paraId="1D15F68A">
      <w:pPr>
        <w:widowControl/>
        <w:adjustRightInd w:val="0"/>
        <w:snapToGrid w:val="0"/>
        <w:spacing w:line="600" w:lineRule="exact"/>
        <w:jc w:val="left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 xml:space="preserve">    （三）具备自营进出口权，或可通过外贸代理机构实现出口。</w:t>
      </w:r>
    </w:p>
    <w:p w14:paraId="20362BBD">
      <w:pPr>
        <w:widowControl/>
        <w:adjustRightInd w:val="0"/>
        <w:snapToGrid w:val="0"/>
        <w:spacing w:line="600" w:lineRule="exact"/>
        <w:jc w:val="left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 xml:space="preserve">    </w:t>
      </w:r>
      <w:r>
        <w:rPr>
          <w:rFonts w:hint="eastAsia" w:ascii="黑体" w:hAnsi="黑体" w:eastAsia="黑体" w:cs="黑体"/>
          <w:szCs w:val="32"/>
        </w:rPr>
        <w:t>二、产品方面</w:t>
      </w:r>
    </w:p>
    <w:p w14:paraId="1543BCEE">
      <w:pPr>
        <w:widowControl/>
        <w:adjustRightInd w:val="0"/>
        <w:snapToGrid w:val="0"/>
        <w:spacing w:line="600" w:lineRule="exact"/>
        <w:jc w:val="left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 xml:space="preserve">    </w:t>
      </w:r>
      <w:r>
        <w:rPr>
          <w:rFonts w:hint="eastAsia" w:ascii="楷体_GB2312" w:hAnsi="楷体_GB2312" w:eastAsia="楷体_GB2312" w:cs="楷体_GB2312"/>
          <w:bCs/>
          <w:szCs w:val="32"/>
        </w:rPr>
        <w:t>（一）原创性与知识产权。</w:t>
      </w:r>
      <w:r>
        <w:rPr>
          <w:rFonts w:hint="eastAsia" w:ascii="仿宋_GB2312" w:hAnsi="仿宋_GB2312" w:cs="仿宋_GB2312"/>
          <w:szCs w:val="32"/>
        </w:rPr>
        <w:t>参展产品须为原创设计，确保产品无知识产权纠纷或抄袭争议，能够提供外观设计专利、实用新型专利、发明专利等证明材料。</w:t>
      </w:r>
    </w:p>
    <w:p w14:paraId="1C331809">
      <w:pPr>
        <w:widowControl/>
        <w:adjustRightInd w:val="0"/>
        <w:snapToGrid w:val="0"/>
        <w:spacing w:line="600" w:lineRule="exact"/>
        <w:jc w:val="left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 xml:space="preserve">    </w:t>
      </w:r>
      <w:r>
        <w:rPr>
          <w:rFonts w:hint="eastAsia" w:ascii="楷体_GB2312" w:hAnsi="楷体_GB2312" w:eastAsia="楷体_GB2312" w:cs="楷体_GB2312"/>
          <w:bCs/>
          <w:szCs w:val="32"/>
        </w:rPr>
        <w:t>（二）设计品质与文化表达。</w:t>
      </w:r>
      <w:r>
        <w:rPr>
          <w:rFonts w:hint="eastAsia" w:ascii="仿宋_GB2312" w:hAnsi="仿宋_GB2312" w:cs="仿宋_GB2312"/>
          <w:szCs w:val="32"/>
        </w:rPr>
        <w:t>参展产品应具备设计感和创新性，在材质、形态、工艺或使用方式上体现独特的设计思考，鼓励融入山东传统文化元素。</w:t>
      </w:r>
    </w:p>
    <w:p w14:paraId="7B9BB86F">
      <w:pPr>
        <w:widowControl/>
        <w:adjustRightInd w:val="0"/>
        <w:snapToGrid w:val="0"/>
        <w:spacing w:line="600" w:lineRule="exact"/>
        <w:ind w:firstLine="640" w:firstLineChars="200"/>
        <w:jc w:val="left"/>
        <w:rPr>
          <w:rFonts w:hint="eastAsia" w:ascii="仿宋_GB2312" w:hAnsi="仿宋_GB2312" w:cs="仿宋_GB2312"/>
          <w:szCs w:val="32"/>
        </w:rPr>
      </w:pPr>
      <w:r>
        <w:rPr>
          <w:rFonts w:hint="eastAsia" w:ascii="楷体_GB2312" w:hAnsi="楷体_GB2312" w:eastAsia="楷体_GB2312" w:cs="楷体_GB2312"/>
          <w:bCs/>
          <w:szCs w:val="32"/>
        </w:rPr>
        <w:t>（三）工艺品质与展示条件。</w:t>
      </w:r>
      <w:r>
        <w:rPr>
          <w:rFonts w:hint="eastAsia" w:ascii="仿宋_GB2312" w:hAnsi="仿宋_GB2312" w:cs="仿宋_GB2312"/>
          <w:szCs w:val="32"/>
        </w:rPr>
        <w:t>展品应制作精良，具备良好的完整性与展示状态，易于运输、陈列与布展，能够配合制作图册、视频等展示材料。</w:t>
      </w:r>
    </w:p>
    <w:p w14:paraId="065BEB4E">
      <w:pPr>
        <w:widowControl/>
        <w:adjustRightInd w:val="0"/>
        <w:snapToGrid w:val="0"/>
        <w:spacing w:line="600" w:lineRule="exact"/>
        <w:ind w:firstLine="640" w:firstLineChars="200"/>
        <w:jc w:val="left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三、市场能力方面</w:t>
      </w:r>
    </w:p>
    <w:p w14:paraId="7ECDC65E">
      <w:pPr>
        <w:widowControl/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cs="仿宋_GB2312"/>
          <w:szCs w:val="32"/>
        </w:rPr>
      </w:pPr>
      <w:r>
        <w:rPr>
          <w:rFonts w:hint="eastAsia" w:ascii="楷体_GB2312" w:hAnsi="楷体_GB2312" w:eastAsia="楷体_GB2312" w:cs="楷体_GB2312"/>
          <w:bCs/>
          <w:szCs w:val="32"/>
        </w:rPr>
        <w:t>（一）价格体系与订单能力。</w:t>
      </w:r>
      <w:r>
        <w:rPr>
          <w:rFonts w:hint="eastAsia" w:ascii="仿宋_GB2312" w:hAnsi="仿宋_GB2312" w:cs="仿宋_GB2312"/>
          <w:szCs w:val="32"/>
        </w:rPr>
        <w:t>参展产品须具备清晰的欧元计价体系及明确的最低起订量标准，鼓励接受小批量定制。</w:t>
      </w:r>
    </w:p>
    <w:p w14:paraId="006305D0">
      <w:pPr>
        <w:widowControl/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cs="仿宋_GB2312"/>
          <w:szCs w:val="32"/>
        </w:rPr>
      </w:pPr>
      <w:r>
        <w:rPr>
          <w:rFonts w:hint="eastAsia" w:ascii="楷体_GB2312" w:hAnsi="楷体_GB2312" w:eastAsia="楷体_GB2312" w:cs="楷体_GB2312"/>
          <w:bCs/>
          <w:szCs w:val="32"/>
        </w:rPr>
        <w:t>（二）目标客户与市场定位。</w:t>
      </w:r>
      <w:r>
        <w:rPr>
          <w:rFonts w:hint="eastAsia" w:ascii="仿宋_GB2312" w:hAnsi="仿宋_GB2312" w:cs="仿宋_GB2312"/>
          <w:szCs w:val="32"/>
        </w:rPr>
        <w:t>品牌定位明确，有较为明确的目标客群，如百货国际买手、渠道采购商等。</w:t>
      </w:r>
    </w:p>
    <w:p w14:paraId="5DABF610">
      <w:pPr>
        <w:widowControl/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cs="仿宋_GB2312"/>
          <w:szCs w:val="32"/>
          <w:lang w:bidi="ar"/>
        </w:rPr>
      </w:pPr>
      <w:r>
        <w:rPr>
          <w:rFonts w:hint="eastAsia" w:ascii="楷体_GB2312" w:hAnsi="楷体_GB2312" w:eastAsia="楷体_GB2312" w:cs="楷体_GB2312"/>
          <w:bCs/>
          <w:szCs w:val="32"/>
        </w:rPr>
        <w:t>（三）客户服务能力。</w:t>
      </w:r>
      <w:r>
        <w:rPr>
          <w:rFonts w:hint="eastAsia" w:ascii="仿宋_GB2312" w:hAnsi="仿宋_GB2312" w:cs="仿宋_GB2312"/>
          <w:szCs w:val="32"/>
        </w:rPr>
        <w:t>应具备与国际专业买手、采购商及零售商对接能力，能够提供</w:t>
      </w:r>
      <w:r>
        <w:rPr>
          <w:rFonts w:hint="eastAsia" w:ascii="仿宋_GB2312" w:hAnsi="仿宋_GB2312" w:cs="仿宋_GB2312"/>
          <w:szCs w:val="32"/>
          <w:lang w:bidi="ar"/>
        </w:rPr>
        <w:t>样品寄送、订单全流程跟进服务</w:t>
      </w:r>
      <w:r>
        <w:rPr>
          <w:rFonts w:hint="eastAsia" w:ascii="仿宋_GB2312" w:hAnsi="仿宋_GB2312" w:cs="仿宋_GB2312"/>
          <w:szCs w:val="32"/>
          <w:lang w:eastAsia="zh-CN" w:bidi="ar"/>
        </w:rPr>
        <w:t>，以</w:t>
      </w:r>
      <w:r>
        <w:rPr>
          <w:rFonts w:hint="eastAsia" w:ascii="仿宋_GB2312" w:hAnsi="仿宋_GB2312" w:cs="仿宋_GB2312"/>
          <w:szCs w:val="32"/>
          <w:lang w:bidi="ar"/>
        </w:rPr>
        <w:t>及包装定制优化等配套需求。</w:t>
      </w:r>
    </w:p>
    <w:p w14:paraId="0452A15A">
      <w:pPr>
        <w:widowControl/>
        <w:adjustRightInd w:val="0"/>
        <w:snapToGrid w:val="0"/>
        <w:spacing w:line="600" w:lineRule="exact"/>
        <w:ind w:firstLine="640" w:firstLineChars="200"/>
        <w:jc w:val="left"/>
        <w:rPr>
          <w:rFonts w:hint="eastAsia"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四、其他</w:t>
      </w:r>
    </w:p>
    <w:p w14:paraId="3325B355">
      <w:r>
        <w:rPr>
          <w:rFonts w:hint="eastAsia" w:ascii="仿宋_GB2312" w:hAnsi="仿宋_GB2312" w:cs="仿宋_GB2312"/>
          <w:snapToGrid w:val="0"/>
          <w:kern w:val="0"/>
          <w:szCs w:val="32"/>
        </w:rPr>
        <w:t>巴黎时尚家居设计展主办方的其他相关要求。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F25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2026-08-27T01:51:00Z</dcterms:created>
  <dc:creator>Administrator</dc:creator>
  <cp:lastModifiedBy>刘军利</cp:lastModifiedBy>
  <dcterms:modified xsi:type="dcterms:W3CDTF">2026-08-27T01:51:05Z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eyJoZGlkIjoiNWJhOGQ0ZTg1MzJlNTJjZWM5OWM4NGFmODFlNDM4NWYiLCJ1c2VySWQiOiIxNjc1NzQwNjAyIn0=</vt:lpwstr>
  </property>
  <property fmtid="{D5CDD505-2E9C-101B-9397-08002B2CF9AE}" pid="4" name="ICV">
    <vt:lpwstr>9913B5039D66449AA2BC60456C7C843A_12</vt:lpwstr>
  </property>
</Properties>
</file>