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600" w:lineRule="exact"/>
        <w:jc w:val="center"/>
        <w:rPr>
          <w:rFonts w:ascii="方正小标宋简体" w:hAnsi="方正小标宋简体" w:eastAsia="方正小标宋简体" w:cs="方正小标宋简体"/>
          <w:bCs/>
          <w:color w:val="auto"/>
          <w:sz w:val="44"/>
          <w:szCs w:val="44"/>
          <w:highlight w:val="none"/>
        </w:rPr>
      </w:pPr>
      <w:r>
        <w:rPr>
          <w:rFonts w:hint="eastAsia" w:ascii="方正小标宋简体" w:hAnsi="方正小标宋简体" w:eastAsia="方正小标宋简体" w:cs="方正小标宋简体"/>
          <w:bCs/>
          <w:color w:val="auto"/>
          <w:sz w:val="44"/>
          <w:szCs w:val="44"/>
          <w:highlight w:val="none"/>
        </w:rPr>
        <w:t>省级行政权力事项委托协议书</w:t>
      </w:r>
    </w:p>
    <w:p>
      <w:pPr>
        <w:spacing w:line="600" w:lineRule="exact"/>
        <w:rPr>
          <w:rFonts w:ascii="Times New Roman" w:hAnsi="Times New Roman" w:eastAsia="楷体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委托单位</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山东省商务厅</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法定代表人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张德平</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楷体_GB2312" w:cs="Times New Roman"/>
          <w:color w:val="auto"/>
          <w:sz w:val="32"/>
          <w:szCs w:val="32"/>
          <w:highlight w:val="none"/>
        </w:rPr>
        <w:t>地址</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山东省济南市市中区历阳大街6号</w:t>
      </w:r>
    </w:p>
    <w:p>
      <w:pPr>
        <w:spacing w:line="600" w:lineRule="exact"/>
        <w:rPr>
          <w:rFonts w:ascii="Times New Roman" w:hAnsi="Times New Roman" w:eastAsia="仿宋_GB2312" w:cs="Times New Roman"/>
          <w:color w:val="auto"/>
          <w:sz w:val="32"/>
          <w:szCs w:val="32"/>
          <w:highlight w:val="none"/>
        </w:rPr>
      </w:pP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受委托单位</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青岛市商务局</w:t>
      </w: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法定代表人</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val="en-US" w:eastAsia="zh-CN"/>
        </w:rPr>
        <w:t>李苏满</w:t>
      </w: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楷体_GB2312" w:cs="Times New Roman"/>
          <w:color w:val="auto"/>
          <w:sz w:val="32"/>
          <w:szCs w:val="32"/>
          <w:highlight w:val="none"/>
        </w:rPr>
        <w:t>地址</w:t>
      </w:r>
      <w:r>
        <w:rPr>
          <w:rFonts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rPr>
        <w:t>青岛市市南区香港中路6号世界贸易中心A座13楼</w:t>
      </w:r>
    </w:p>
    <w:p>
      <w:pPr>
        <w:pStyle w:val="5"/>
        <w:widowControl/>
        <w:wordWrap w:val="0"/>
        <w:spacing w:line="600" w:lineRule="exact"/>
        <w:ind w:firstLine="640" w:firstLineChars="200"/>
        <w:rPr>
          <w:rFonts w:ascii="Times New Roman" w:hAnsi="Times New Roman" w:eastAsia="仿宋_GB2312"/>
          <w:color w:val="auto"/>
          <w:sz w:val="32"/>
          <w:szCs w:val="32"/>
          <w:highlight w:val="none"/>
        </w:rPr>
      </w:pPr>
    </w:p>
    <w:p>
      <w:pPr>
        <w:pStyle w:val="5"/>
        <w:widowControl/>
        <w:wordWrap w:val="0"/>
        <w:spacing w:line="600" w:lineRule="exact"/>
        <w:ind w:firstLine="640" w:firstLineChars="200"/>
        <w:rPr>
          <w:rFonts w:ascii="Times New Roman" w:hAnsi="Times New Roman" w:eastAsia="仿宋_GB2312"/>
          <w:color w:val="auto"/>
          <w:sz w:val="32"/>
          <w:szCs w:val="32"/>
          <w:highlight w:val="none"/>
        </w:rPr>
      </w:pPr>
      <w:r>
        <w:rPr>
          <w:rFonts w:ascii="Times New Roman" w:hAnsi="Times New Roman" w:eastAsia="仿宋_GB2312"/>
          <w:color w:val="auto"/>
          <w:sz w:val="32"/>
          <w:szCs w:val="32"/>
          <w:highlight w:val="none"/>
        </w:rPr>
        <w:t>根据《中华人民共和国行政许可法》、</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中华人民共和国行政</w:t>
      </w:r>
      <w:r>
        <w:rPr>
          <w:rFonts w:hint="eastAsia" w:ascii="Times New Roman" w:hAnsi="Times New Roman" w:eastAsia="仿宋_GB2312"/>
          <w:color w:val="auto"/>
          <w:sz w:val="32"/>
          <w:szCs w:val="32"/>
          <w:highlight w:val="none"/>
          <w:lang w:val="en-US" w:eastAsia="zh-CN"/>
        </w:rPr>
        <w:t>处罚法</w:t>
      </w:r>
      <w:r>
        <w:rPr>
          <w:rFonts w:hint="eastAsia" w:ascii="Times New Roman" w:hAnsi="Times New Roman" w:eastAsia="仿宋_GB2312"/>
          <w:color w:val="auto"/>
          <w:sz w:val="32"/>
          <w:szCs w:val="32"/>
          <w:highlight w:val="none"/>
          <w:lang w:eastAsia="zh-CN"/>
        </w:rPr>
        <w:t>》、</w:t>
      </w:r>
      <w:r>
        <w:rPr>
          <w:rFonts w:ascii="Times New Roman" w:hAnsi="Times New Roman" w:eastAsia="仿宋_GB2312"/>
          <w:color w:val="auto"/>
          <w:sz w:val="32"/>
          <w:szCs w:val="32"/>
          <w:highlight w:val="none"/>
        </w:rPr>
        <w:t>《山东省行政程序规定》、</w:t>
      </w:r>
      <w:r>
        <w:rPr>
          <w:rFonts w:hint="eastAsia" w:ascii="Times New Roman" w:hAnsi="Times New Roman" w:eastAsia="仿宋_GB2312"/>
          <w:color w:val="auto"/>
          <w:sz w:val="32"/>
          <w:szCs w:val="32"/>
          <w:highlight w:val="none"/>
        </w:rPr>
        <w:t>《关于调整实施部分省级行政权力事项的决定》（山东省人民政府令第333号）</w:t>
      </w:r>
      <w:r>
        <w:rPr>
          <w:rFonts w:ascii="Times New Roman" w:hAnsi="Times New Roman" w:eastAsia="仿宋_GB2312"/>
          <w:color w:val="auto"/>
          <w:sz w:val="32"/>
          <w:szCs w:val="32"/>
          <w:highlight w:val="none"/>
        </w:rPr>
        <w:t>等有关法律、法规和规章规定，</w:t>
      </w:r>
      <w:r>
        <w:rPr>
          <w:rFonts w:hint="eastAsia" w:ascii="Times New Roman" w:hAnsi="Times New Roman" w:eastAsia="仿宋_GB2312"/>
          <w:color w:val="auto"/>
          <w:sz w:val="32"/>
          <w:szCs w:val="32"/>
          <w:highlight w:val="none"/>
        </w:rPr>
        <w:t>山东省商务厅</w:t>
      </w:r>
      <w:r>
        <w:rPr>
          <w:rFonts w:ascii="Times New Roman" w:hAnsi="Times New Roman" w:eastAsia="仿宋_GB2312"/>
          <w:color w:val="auto"/>
          <w:sz w:val="32"/>
          <w:szCs w:val="32"/>
          <w:highlight w:val="none"/>
        </w:rPr>
        <w:t>委托</w:t>
      </w:r>
      <w:r>
        <w:rPr>
          <w:rFonts w:hint="eastAsia" w:ascii="Times New Roman" w:hAnsi="Times New Roman" w:eastAsia="仿宋_GB2312" w:cs="Times New Roman"/>
          <w:color w:val="auto"/>
          <w:sz w:val="32"/>
          <w:szCs w:val="32"/>
          <w:highlight w:val="none"/>
          <w:lang w:val="en-US" w:eastAsia="zh-CN"/>
        </w:rPr>
        <w:t>青岛市商务局</w:t>
      </w:r>
      <w:r>
        <w:rPr>
          <w:rFonts w:ascii="Times New Roman" w:hAnsi="Times New Roman" w:eastAsia="仿宋_GB2312"/>
          <w:color w:val="auto"/>
          <w:sz w:val="32"/>
          <w:szCs w:val="32"/>
          <w:highlight w:val="none"/>
        </w:rPr>
        <w:t>在</w:t>
      </w:r>
      <w:r>
        <w:rPr>
          <w:rFonts w:hint="eastAsia" w:ascii="Times New Roman" w:hAnsi="Times New Roman" w:eastAsia="仿宋_GB2312" w:cs="Times New Roman"/>
          <w:color w:val="auto"/>
          <w:sz w:val="32"/>
          <w:szCs w:val="32"/>
          <w:highlight w:val="none"/>
          <w:lang w:val="en-US" w:eastAsia="zh-CN"/>
        </w:rPr>
        <w:t>青岛市</w:t>
      </w:r>
      <w:r>
        <w:rPr>
          <w:rFonts w:ascii="Times New Roman" w:hAnsi="Times New Roman" w:eastAsia="仿宋_GB2312"/>
          <w:color w:val="auto"/>
          <w:sz w:val="32"/>
          <w:szCs w:val="32"/>
          <w:highlight w:val="none"/>
        </w:rPr>
        <w:t>范围内行使部分省级行政权力事项。现通过本协议明确以下事项：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黑体" w:cs="Times New Roman"/>
          <w:color w:val="auto"/>
          <w:sz w:val="32"/>
          <w:szCs w:val="32"/>
          <w:highlight w:val="none"/>
        </w:rPr>
        <w:t>一、委托事项</w:t>
      </w:r>
    </w:p>
    <w:p>
      <w:pPr>
        <w:spacing w:line="60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1、拍卖业务许可</w:t>
      </w:r>
    </w:p>
    <w:p>
      <w:pPr>
        <w:spacing w:line="600" w:lineRule="exact"/>
        <w:ind w:left="638" w:leftChars="304" w:firstLine="0" w:firstLineChars="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2、单用途商业预付卡集团发卡企业和品牌发卡企业的备案</w:t>
      </w:r>
    </w:p>
    <w:p>
      <w:pPr>
        <w:spacing w:line="600" w:lineRule="exact"/>
        <w:ind w:firstLine="640" w:firstLineChars="20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3、</w:t>
      </w:r>
      <w:r>
        <w:rPr>
          <w:rFonts w:hint="default" w:ascii="仿宋_GB2312" w:hAnsi="仿宋_GB2312" w:eastAsia="仿宋_GB2312" w:cs="仿宋_GB2312"/>
          <w:color w:val="auto"/>
          <w:sz w:val="32"/>
          <w:szCs w:val="32"/>
          <w:highlight w:val="none"/>
          <w:lang w:val="en-US" w:eastAsia="zh-CN"/>
        </w:rPr>
        <w:t>二手车交易市场经营者和二手车经营主体备案</w:t>
      </w:r>
    </w:p>
    <w:p>
      <w:pPr>
        <w:pStyle w:val="2"/>
        <w:rPr>
          <w:rFonts w:hint="default"/>
          <w:lang w:val="en-US" w:eastAsia="zh-CN"/>
        </w:rPr>
      </w:pPr>
      <w:r>
        <w:rPr>
          <w:rFonts w:hint="eastAsia" w:ascii="仿宋_GB2312" w:hAnsi="仿宋_GB2312" w:cs="仿宋_GB2312"/>
          <w:color w:val="auto"/>
          <w:sz w:val="32"/>
          <w:szCs w:val="32"/>
          <w:highlight w:val="none"/>
          <w:lang w:val="en-US" w:eastAsia="zh-CN"/>
        </w:rPr>
        <w:t xml:space="preserve">    4、行政处罚事项</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i w:val="0"/>
          <w:color w:val="auto"/>
          <w:kern w:val="0"/>
          <w:sz w:val="32"/>
          <w:szCs w:val="32"/>
          <w:u w:val="none"/>
          <w:lang w:val="en-US" w:eastAsia="zh-CN" w:bidi="ar"/>
        </w:rPr>
        <w:t>（1）对出租、擅自转让拍卖经营权行为的处罚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i w:val="0"/>
          <w:color w:val="auto"/>
          <w:kern w:val="0"/>
          <w:sz w:val="32"/>
          <w:szCs w:val="32"/>
          <w:u w:val="none"/>
          <w:lang w:val="en-US" w:eastAsia="zh-CN" w:bidi="ar"/>
        </w:rPr>
      </w:pPr>
      <w:r>
        <w:rPr>
          <w:rFonts w:hint="eastAsia" w:ascii="Times New Roman" w:hAnsi="Times New Roman" w:eastAsia="仿宋_GB2312" w:cs="Times New Roman"/>
          <w:i w:val="0"/>
          <w:color w:val="auto"/>
          <w:kern w:val="0"/>
          <w:sz w:val="32"/>
          <w:szCs w:val="32"/>
          <w:u w:val="none"/>
          <w:lang w:val="en-US" w:eastAsia="zh-CN" w:bidi="ar"/>
        </w:rPr>
        <w:t>（2）对雇佣未依法注册的拍卖师或其他人员充任拍卖师主持拍卖活动行为的处罚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bidi="ar"/>
        </w:rPr>
      </w:pPr>
      <w:r>
        <w:rPr>
          <w:rFonts w:hint="eastAsia" w:ascii="Times New Roman" w:hAnsi="Times New Roman" w:eastAsia="仿宋_GB2312" w:cs="Times New Roman"/>
          <w:i w:val="0"/>
          <w:color w:val="auto"/>
          <w:kern w:val="0"/>
          <w:sz w:val="32"/>
          <w:szCs w:val="32"/>
          <w:u w:val="none"/>
          <w:lang w:val="en-US" w:eastAsia="zh-CN" w:bidi="ar"/>
        </w:rPr>
        <w:t>（3）对拍卖前违规进行公告或展示行为的处罚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（4）</w:t>
      </w:r>
      <w:r>
        <w:rPr>
          <w:rFonts w:hint="eastAsia" w:ascii="Times New Roman" w:hAnsi="Times New Roman" w:eastAsia="仿宋_GB2312" w:cs="Times New Roman"/>
          <w:i w:val="0"/>
          <w:color w:val="auto"/>
          <w:kern w:val="0"/>
          <w:sz w:val="32"/>
          <w:szCs w:val="32"/>
          <w:u w:val="none"/>
          <w:lang w:val="en-US" w:eastAsia="zh-CN" w:bidi="ar"/>
        </w:rPr>
        <w:t>对发卡企业未按规定严格管理预收资金的处罚——对集团发卡企业和品牌发卡企业的处罚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（5）</w:t>
      </w:r>
      <w:r>
        <w:rPr>
          <w:rFonts w:hint="eastAsia" w:ascii="Times New Roman" w:hAnsi="Times New Roman" w:eastAsia="仿宋_GB2312" w:cs="Times New Roman"/>
          <w:i w:val="0"/>
          <w:color w:val="auto"/>
          <w:kern w:val="0"/>
          <w:sz w:val="32"/>
          <w:szCs w:val="32"/>
          <w:u w:val="none"/>
          <w:lang w:val="en-US" w:eastAsia="zh-CN" w:bidi="ar"/>
        </w:rPr>
        <w:t>对发卡企业预收资金余额超过规定比例的处罚——对集团发卡企业和品牌发卡企业的处罚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（6）</w:t>
      </w:r>
      <w:r>
        <w:rPr>
          <w:rFonts w:hint="eastAsia" w:ascii="Times New Roman" w:hAnsi="Times New Roman" w:eastAsia="仿宋_GB2312" w:cs="Times New Roman"/>
          <w:i w:val="0"/>
          <w:color w:val="auto"/>
          <w:kern w:val="0"/>
          <w:sz w:val="32"/>
          <w:szCs w:val="32"/>
          <w:u w:val="none"/>
          <w:lang w:val="en-US" w:eastAsia="zh-CN" w:bidi="ar"/>
        </w:rPr>
        <w:t>对发卡企业未实行资金存管制度，以及存管资金低于规定比例的处罚——对集团发卡企业和品牌发卡企业的处罚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（7）</w:t>
      </w:r>
      <w:r>
        <w:rPr>
          <w:rFonts w:hint="eastAsia" w:ascii="Times New Roman" w:hAnsi="Times New Roman" w:eastAsia="仿宋_GB2312" w:cs="Times New Roman"/>
          <w:i w:val="0"/>
          <w:color w:val="auto"/>
          <w:kern w:val="0"/>
          <w:sz w:val="32"/>
          <w:szCs w:val="32"/>
          <w:u w:val="none"/>
          <w:lang w:val="en-US" w:eastAsia="zh-CN" w:bidi="ar"/>
        </w:rPr>
        <w:t>对发卡企业未按规定确定资金存管账户，以及未与存管资金银行签订存管协议的处罚——对集团发卡企业和品牌发卡企业的处罚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Times New Roman" w:hAnsi="Times New Roman" w:eastAsia="仿宋_GB2312" w:cs="Times New Roman"/>
          <w:color w:val="auto"/>
          <w:kern w:val="0"/>
          <w:sz w:val="32"/>
          <w:szCs w:val="32"/>
          <w:highlight w:val="none"/>
          <w:lang w:val="en-US" w:eastAsia="zh-CN" w:bidi="ar"/>
        </w:rPr>
      </w:pPr>
      <w:r>
        <w:rPr>
          <w:rFonts w:hint="eastAsia" w:ascii="Times New Roman" w:hAnsi="Times New Roman" w:eastAsia="仿宋_GB2312" w:cs="Times New Roman"/>
          <w:color w:val="auto"/>
          <w:kern w:val="0"/>
          <w:sz w:val="32"/>
          <w:szCs w:val="32"/>
          <w:highlight w:val="none"/>
          <w:lang w:val="en-US" w:eastAsia="zh-CN" w:bidi="ar"/>
        </w:rPr>
        <w:t>（8）</w:t>
      </w:r>
      <w:r>
        <w:rPr>
          <w:rFonts w:hint="eastAsia" w:ascii="Times New Roman" w:hAnsi="Times New Roman" w:eastAsia="仿宋_GB2312" w:cs="Times New Roman"/>
          <w:i w:val="0"/>
          <w:color w:val="auto"/>
          <w:kern w:val="0"/>
          <w:sz w:val="32"/>
          <w:szCs w:val="32"/>
          <w:u w:val="none"/>
          <w:lang w:val="en-US" w:eastAsia="zh-CN" w:bidi="ar"/>
        </w:rPr>
        <w:t>对发卡企业未按规定填报单用途卡业务信息的处罚——对集团发卡企业和品牌发卡企业的处罚</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ascii="Times New Roman" w:hAnsi="Times New Roman" w:eastAsia="黑体" w:cs="Times New Roman"/>
          <w:color w:val="auto"/>
          <w:sz w:val="32"/>
          <w:szCs w:val="32"/>
          <w:highlight w:val="none"/>
        </w:rPr>
      </w:pPr>
      <w:r>
        <w:rPr>
          <w:rFonts w:hint="eastAsia" w:ascii="Times New Roman" w:hAnsi="Times New Roman" w:eastAsia="仿宋_GB2312" w:cs="Times New Roman"/>
          <w:color w:val="auto"/>
          <w:kern w:val="0"/>
          <w:sz w:val="32"/>
          <w:szCs w:val="32"/>
          <w:highlight w:val="none"/>
          <w:lang w:val="en-US" w:eastAsia="zh-CN" w:bidi="ar"/>
        </w:rPr>
        <w:t>（9）</w:t>
      </w:r>
      <w:r>
        <w:rPr>
          <w:rFonts w:hint="eastAsia" w:ascii="Times New Roman" w:hAnsi="Times New Roman" w:eastAsia="仿宋_GB2312" w:cs="Times New Roman"/>
          <w:i w:val="0"/>
          <w:color w:val="auto"/>
          <w:kern w:val="0"/>
          <w:sz w:val="32"/>
          <w:szCs w:val="32"/>
          <w:u w:val="none"/>
          <w:lang w:val="en-US" w:eastAsia="zh-CN" w:bidi="ar"/>
        </w:rPr>
        <w:t>对规模发卡企业、集团发卡企业、品牌发卡企业未按规定建立业务处理系统、发生重大技术故障时未立即向备案机关报告的处罚——对集团发卡企业和品牌发卡企业的处罚</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二、工作要求</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自本协议签订之日起，由受委托单位负责办理</w:t>
      </w:r>
      <w:r>
        <w:rPr>
          <w:rFonts w:hint="eastAsia" w:ascii="Times New Roman" w:hAnsi="Times New Roman" w:eastAsia="仿宋_GB2312" w:cs="Times New Roman"/>
          <w:color w:val="auto"/>
          <w:sz w:val="32"/>
          <w:szCs w:val="32"/>
          <w:highlight w:val="none"/>
        </w:rPr>
        <w:t>上述所列</w:t>
      </w:r>
      <w:r>
        <w:rPr>
          <w:rFonts w:ascii="Times New Roman" w:hAnsi="Times New Roman" w:eastAsia="仿宋_GB2312" w:cs="Times New Roman"/>
          <w:color w:val="auto"/>
          <w:sz w:val="32"/>
          <w:szCs w:val="32"/>
          <w:highlight w:val="none"/>
        </w:rPr>
        <w:t>省级行政权力事项。</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（一）标准和程序</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受委托单位应当按照有关法律、法规、规章和规范性文件的规定实施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委托事项。</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（二）行政许可文书用印</w:t>
      </w:r>
    </w:p>
    <w:p>
      <w:pPr>
        <w:spacing w:line="600" w:lineRule="exact"/>
        <w:ind w:firstLine="640" w:firstLineChars="200"/>
        <w:rPr>
          <w:rFonts w:hint="eastAsia"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委托单位向受委托单位提供“</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val="en-US" w:eastAsia="zh-CN"/>
        </w:rPr>
        <w:t xml:space="preserve">行政审批专用  </w:t>
      </w:r>
      <w:r>
        <w:rPr>
          <w:rFonts w:ascii="Times New Roman" w:hAnsi="Times New Roman" w:eastAsia="仿宋_GB2312" w:cs="Times New Roman"/>
          <w:color w:val="auto"/>
          <w:sz w:val="32"/>
          <w:szCs w:val="32"/>
          <w:highlight w:val="none"/>
        </w:rPr>
        <w:t>章”用于办理本协议书</w:t>
      </w:r>
      <w:r>
        <w:rPr>
          <w:rFonts w:hint="eastAsia" w:ascii="仿宋_GB2312" w:hAnsi="仿宋_GB2312" w:eastAsia="仿宋_GB2312" w:cs="仿宋_GB2312"/>
          <w:color w:val="auto"/>
          <w:sz w:val="32"/>
          <w:szCs w:val="32"/>
          <w:highlight w:val="none"/>
          <w:lang w:val="en-US" w:eastAsia="zh-CN"/>
        </w:rPr>
        <w:t>所列行政审批及备案事项</w:t>
      </w:r>
      <w:r>
        <w:rPr>
          <w:rFonts w:ascii="Times New Roman" w:hAnsi="Times New Roman" w:eastAsia="仿宋_GB2312" w:cs="Times New Roman"/>
          <w:color w:val="auto"/>
          <w:sz w:val="32"/>
          <w:szCs w:val="32"/>
          <w:highlight w:val="none"/>
        </w:rPr>
        <w:t>，编号</w:t>
      </w:r>
      <w:r>
        <w:rPr>
          <w:rFonts w:hint="eastAsia" w:ascii="Times New Roman" w:hAnsi="Times New Roman" w:eastAsia="仿宋_GB2312" w:cs="Times New Roman"/>
          <w:color w:val="auto"/>
          <w:sz w:val="32"/>
          <w:szCs w:val="32"/>
          <w:highlight w:val="none"/>
          <w:lang w:val="en-US" w:eastAsia="zh-CN"/>
        </w:rPr>
        <w:t>02-1；</w:t>
      </w:r>
      <w:r>
        <w:rPr>
          <w:rFonts w:ascii="Times New Roman" w:hAnsi="Times New Roman" w:eastAsia="仿宋_GB2312" w:cs="Times New Roman"/>
          <w:color w:val="auto"/>
          <w:sz w:val="32"/>
          <w:szCs w:val="32"/>
          <w:highlight w:val="none"/>
        </w:rPr>
        <w:t>向受委托单位提供“</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val="en-US" w:eastAsia="zh-CN"/>
        </w:rPr>
        <w:t>行政处罚专用</w:t>
      </w:r>
      <w:r>
        <w:rPr>
          <w:rFonts w:ascii="Times New Roman" w:hAnsi="Times New Roman" w:eastAsia="仿宋_GB2312" w:cs="Times New Roman"/>
          <w:color w:val="auto"/>
          <w:sz w:val="32"/>
          <w:szCs w:val="32"/>
          <w:highlight w:val="none"/>
        </w:rPr>
        <w:t>章”用于办理本协议书</w:t>
      </w:r>
      <w:r>
        <w:rPr>
          <w:rFonts w:hint="eastAsia" w:ascii="仿宋_GB2312" w:hAnsi="仿宋_GB2312" w:eastAsia="仿宋_GB2312" w:cs="仿宋_GB2312"/>
          <w:color w:val="auto"/>
          <w:sz w:val="32"/>
          <w:szCs w:val="32"/>
          <w:highlight w:val="none"/>
          <w:lang w:val="en-US" w:eastAsia="zh-CN"/>
        </w:rPr>
        <w:t>所列行政处罚事项，编号02-1</w:t>
      </w:r>
      <w:r>
        <w:rPr>
          <w:rFonts w:hint="eastAsia" w:ascii="Times New Roman" w:hAnsi="Times New Roman" w:eastAsia="仿宋_GB2312" w:cs="Times New Roman"/>
          <w:color w:val="auto"/>
          <w:sz w:val="32"/>
          <w:szCs w:val="32"/>
          <w:highlight w:val="none"/>
        </w:rPr>
        <w:t>。</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（三）其他要求</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1、受委托单位公开办事指南和办事依据，办理前应按规定公示，办理结果应及时与省政务服务平台、信用中国（山东）、“互联网+监管”系统等对接，接受社会监督。</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2、受委托单位每年1月份、7月份向委托单位书面报告受委托工作进展情况，</w:t>
      </w:r>
      <w:r>
        <w:rPr>
          <w:rFonts w:hint="eastAsia" w:ascii="Times New Roman" w:hAnsi="Times New Roman" w:eastAsia="仿宋_GB2312" w:cs="Times New Roman"/>
          <w:color w:val="auto"/>
          <w:sz w:val="32"/>
          <w:szCs w:val="32"/>
          <w:highlight w:val="none"/>
          <w:lang w:val="en-US" w:eastAsia="zh-CN"/>
        </w:rPr>
        <w:t>每</w:t>
      </w:r>
      <w:r>
        <w:rPr>
          <w:rFonts w:ascii="Times New Roman" w:hAnsi="Times New Roman" w:eastAsia="仿宋_GB2312" w:cs="Times New Roman"/>
          <w:color w:val="auto"/>
          <w:sz w:val="32"/>
          <w:szCs w:val="32"/>
          <w:highlight w:val="none"/>
        </w:rPr>
        <w:t>月5日前将事项办理有关数据报</w:t>
      </w:r>
      <w:r>
        <w:rPr>
          <w:rFonts w:hint="eastAsia" w:ascii="Times New Roman" w:hAnsi="Times New Roman" w:eastAsia="仿宋_GB2312" w:cs="Times New Roman"/>
          <w:color w:val="auto"/>
          <w:sz w:val="32"/>
          <w:szCs w:val="32"/>
          <w:highlight w:val="none"/>
        </w:rPr>
        <w:t>山东省商务厅</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或根据委托权力事项所属业务处室具体要求报送</w:t>
      </w:r>
      <w:r>
        <w:rPr>
          <w:rFonts w:hint="eastAsia" w:ascii="Times New Roman" w:hAnsi="Times New Roman" w:eastAsia="仿宋_GB2312" w:cs="Times New Roman"/>
          <w:color w:val="auto"/>
          <w:sz w:val="32"/>
          <w:szCs w:val="32"/>
          <w:highlight w:val="none"/>
          <w:lang w:eastAsia="zh-CN"/>
        </w:rPr>
        <w:t>）</w:t>
      </w:r>
      <w:r>
        <w:rPr>
          <w:rFonts w:ascii="Times New Roman" w:hAnsi="Times New Roman" w:eastAsia="仿宋_GB2312" w:cs="Times New Roman"/>
          <w:color w:val="auto"/>
          <w:sz w:val="32"/>
          <w:szCs w:val="32"/>
          <w:highlight w:val="none"/>
        </w:rPr>
        <w:t>。</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三、权利义务</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（一）委托单位的权利义务</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1、指导和监督受委托单位在委托权限范围内依法实施委托权力事项。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2、指导受委托单位编写办事指南等工作，对受委托单位进行必要的业务培训。</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3、密切跟踪委托权力事项的实施，通过检查、抽查、评估等方式加强对受委托单位实施权力事项的监管。</w:t>
      </w:r>
    </w:p>
    <w:p>
      <w:pPr>
        <w:spacing w:line="600" w:lineRule="exact"/>
        <w:ind w:firstLine="640" w:firstLineChars="200"/>
        <w:rPr>
          <w:rFonts w:ascii="Times New Roman" w:hAnsi="Times New Roman" w:eastAsia="楷体" w:cs="Times New Roman"/>
          <w:color w:val="auto"/>
          <w:sz w:val="32"/>
          <w:szCs w:val="32"/>
          <w:highlight w:val="none"/>
        </w:rPr>
      </w:pPr>
      <w:r>
        <w:rPr>
          <w:rFonts w:ascii="Times New Roman" w:hAnsi="Times New Roman" w:eastAsia="楷体" w:cs="Times New Roman"/>
          <w:color w:val="auto"/>
          <w:sz w:val="32"/>
          <w:szCs w:val="32"/>
          <w:highlight w:val="none"/>
        </w:rPr>
        <w:t>（二）受委托单位的权利义务</w:t>
      </w:r>
    </w:p>
    <w:p>
      <w:pPr>
        <w:spacing w:line="60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1、在委托权限范围内以委托单位的名义依法实施权力事项，负责受委托权力事项的受理、办理、咨询、协调等工作，并根据改革进展，及时调整公布办事指南，畅通咨询渠道，方便企业群众咨询、办事；受委托单位要主动接受委托单位的指导、监督，配合委托单位开展检查、评估。</w:t>
      </w:r>
      <w:r>
        <w:rPr>
          <w:rFonts w:hint="eastAsia" w:ascii="Times New Roman" w:hAnsi="Times New Roman" w:eastAsia="仿宋_GB2312" w:cs="Times New Roman"/>
          <w:color w:val="auto"/>
          <w:sz w:val="32"/>
          <w:szCs w:val="32"/>
          <w:highlight w:val="none"/>
          <w:lang w:val="en-US" w:eastAsia="zh-CN"/>
        </w:rPr>
        <w:t>受委托单位应严格遵守行使行政处罚权力的程序要求，并保障当事人的权利。</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2、严格限于委托范围内行使委托权力事项，以委托单位的名义制作</w:t>
      </w:r>
      <w:r>
        <w:rPr>
          <w:rFonts w:hint="eastAsia" w:ascii="Times New Roman" w:hAnsi="Times New Roman" w:eastAsia="仿宋_GB2312" w:cs="Times New Roman"/>
          <w:color w:val="auto"/>
          <w:sz w:val="32"/>
          <w:szCs w:val="32"/>
          <w:highlight w:val="none"/>
          <w:lang w:val="en-US" w:eastAsia="zh-CN"/>
        </w:rPr>
        <w:t>发放相关文书或证书，按照办理要求及时进行公示</w:t>
      </w:r>
      <w:r>
        <w:rPr>
          <w:rFonts w:ascii="Times New Roman" w:hAnsi="Times New Roman" w:eastAsia="仿宋_GB2312" w:cs="Times New Roman"/>
          <w:color w:val="auto"/>
          <w:sz w:val="32"/>
          <w:szCs w:val="32"/>
          <w:highlight w:val="none"/>
        </w:rPr>
        <w:t>，并遵守国家和省相关法律、法规、规章和政策，不得将委托权力事项再委托</w:t>
      </w:r>
      <w:r>
        <w:rPr>
          <w:rFonts w:hint="eastAsia" w:ascii="Times New Roman" w:hAnsi="Times New Roman" w:eastAsia="仿宋_GB2312" w:cs="Times New Roman"/>
          <w:color w:val="auto"/>
          <w:sz w:val="32"/>
          <w:szCs w:val="32"/>
          <w:highlight w:val="none"/>
          <w:lang w:val="en-US" w:eastAsia="zh-CN"/>
        </w:rPr>
        <w:t>或下放</w:t>
      </w:r>
      <w:r>
        <w:rPr>
          <w:rFonts w:ascii="Times New Roman" w:hAnsi="Times New Roman" w:eastAsia="仿宋_GB2312" w:cs="Times New Roman"/>
          <w:color w:val="auto"/>
          <w:sz w:val="32"/>
          <w:szCs w:val="32"/>
          <w:highlight w:val="none"/>
        </w:rPr>
        <w:t>给其他组织实施。</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3、建立健全相关配套制度，组织对具体经办人员的学习培训，提高其工作能力和水平。</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4、承担实施委托权力事项所产生的费用，不得向行政相对人收取法律、法规、规章规定之外的费用。</w:t>
      </w:r>
    </w:p>
    <w:p>
      <w:pPr>
        <w:spacing w:line="600" w:lineRule="exact"/>
        <w:ind w:firstLine="640" w:firstLineChars="200"/>
        <w:rPr>
          <w:rFonts w:hint="eastAsia" w:ascii="Times New Roman" w:hAnsi="Times New Roman" w:eastAsia="仿宋_GB2312" w:cs="Times New Roman"/>
          <w:color w:val="auto"/>
          <w:kern w:val="2"/>
          <w:sz w:val="32"/>
          <w:szCs w:val="32"/>
          <w:highlight w:val="none"/>
          <w:lang w:val="en-US" w:eastAsia="zh-CN" w:bidi="ar-SA"/>
        </w:rPr>
      </w:pPr>
      <w:r>
        <w:rPr>
          <w:rFonts w:hint="eastAsia" w:ascii="Times New Roman" w:hAnsi="Times New Roman"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eastAsia="zh-CN"/>
        </w:rPr>
        <w:t>受委托</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rPr>
        <w:t>负责拍卖业务的许可、变更（含变更机构名称、法定代表人、住所、注册资本及股权结构等）</w:t>
      </w:r>
      <w:r>
        <w:rPr>
          <w:rFonts w:hint="eastAsia" w:ascii="Times New Roman" w:hAnsi="Times New Roman" w:eastAsia="仿宋_GB2312" w:cs="Times New Roman"/>
          <w:color w:val="auto"/>
          <w:sz w:val="32"/>
          <w:szCs w:val="32"/>
          <w:highlight w:val="none"/>
          <w:lang w:val="en-US" w:eastAsia="zh-CN"/>
        </w:rPr>
        <w:t>的</w:t>
      </w:r>
      <w:r>
        <w:rPr>
          <w:rFonts w:hint="eastAsia" w:ascii="Times New Roman" w:hAnsi="Times New Roman" w:eastAsia="仿宋_GB2312" w:cs="Times New Roman"/>
          <w:color w:val="auto"/>
          <w:sz w:val="32"/>
          <w:szCs w:val="32"/>
          <w:highlight w:val="none"/>
        </w:rPr>
        <w:t>审批。收到</w:t>
      </w:r>
      <w:r>
        <w:rPr>
          <w:rFonts w:hint="eastAsia" w:ascii="Times New Roman" w:hAnsi="Times New Roman" w:eastAsia="仿宋_GB2312" w:cs="Times New Roman"/>
          <w:color w:val="auto"/>
          <w:sz w:val="32"/>
          <w:szCs w:val="32"/>
          <w:highlight w:val="none"/>
          <w:lang w:val="en-US" w:eastAsia="zh-CN"/>
        </w:rPr>
        <w:t>企业提交的</w:t>
      </w:r>
      <w:r>
        <w:rPr>
          <w:rFonts w:hint="eastAsia" w:ascii="Times New Roman" w:hAnsi="Times New Roman" w:eastAsia="仿宋_GB2312" w:cs="Times New Roman"/>
          <w:color w:val="auto"/>
          <w:sz w:val="32"/>
          <w:szCs w:val="32"/>
          <w:highlight w:val="none"/>
        </w:rPr>
        <w:t>相关申请后，按照《拍卖法》《拍卖管理办法》</w:t>
      </w:r>
      <w:r>
        <w:rPr>
          <w:rFonts w:hint="eastAsia" w:ascii="Times New Roman" w:hAnsi="Times New Roman" w:eastAsia="仿宋_GB2312" w:cs="Times New Roman"/>
          <w:color w:val="auto"/>
          <w:sz w:val="32"/>
          <w:szCs w:val="32"/>
          <w:highlight w:val="none"/>
          <w:lang w:eastAsia="zh-CN"/>
        </w:rPr>
        <w:t>、商务部令</w:t>
      </w:r>
      <w:r>
        <w:rPr>
          <w:rFonts w:hint="eastAsia" w:ascii="Times New Roman" w:hAnsi="Times New Roman" w:eastAsia="仿宋_GB2312" w:cs="Times New Roman"/>
          <w:color w:val="auto"/>
          <w:sz w:val="32"/>
          <w:szCs w:val="32"/>
          <w:highlight w:val="none"/>
          <w:lang w:val="en-US" w:eastAsia="zh-CN"/>
        </w:rPr>
        <w:t>2019第1号</w:t>
      </w:r>
      <w:r>
        <w:rPr>
          <w:rFonts w:hint="eastAsia" w:ascii="Times New Roman" w:hAnsi="Times New Roman" w:eastAsia="仿宋_GB2312" w:cs="Times New Roman"/>
          <w:color w:val="auto"/>
          <w:sz w:val="32"/>
          <w:szCs w:val="32"/>
          <w:highlight w:val="none"/>
        </w:rPr>
        <w:t>及其他</w:t>
      </w:r>
      <w:r>
        <w:rPr>
          <w:rFonts w:hint="eastAsia" w:ascii="Times New Roman" w:hAnsi="Times New Roman" w:eastAsia="仿宋_GB2312" w:cs="Times New Roman"/>
          <w:color w:val="auto"/>
          <w:sz w:val="32"/>
          <w:szCs w:val="32"/>
          <w:highlight w:val="none"/>
          <w:lang w:val="en-US" w:eastAsia="zh-CN"/>
        </w:rPr>
        <w:t>相</w:t>
      </w:r>
      <w:r>
        <w:rPr>
          <w:rFonts w:hint="eastAsia" w:ascii="Times New Roman" w:hAnsi="Times New Roman" w:eastAsia="仿宋_GB2312" w:cs="Times New Roman"/>
          <w:color w:val="auto"/>
          <w:sz w:val="32"/>
          <w:szCs w:val="32"/>
          <w:highlight w:val="none"/>
        </w:rPr>
        <w:t>关法律、法规和规章的规定，做好企业从事拍卖业务的许可、变更事项审核工作</w:t>
      </w:r>
      <w:r>
        <w:rPr>
          <w:rFonts w:hint="eastAsia" w:ascii="Times New Roman" w:hAnsi="Times New Roman" w:eastAsia="仿宋_GB2312" w:cs="Times New Roman"/>
          <w:color w:val="auto"/>
          <w:sz w:val="32"/>
          <w:szCs w:val="32"/>
          <w:highlight w:val="none"/>
          <w:lang w:eastAsia="zh-CN"/>
        </w:rPr>
        <w:t>，对符合要求的企业下发许可文件并颁发</w:t>
      </w:r>
      <w:r>
        <w:rPr>
          <w:rFonts w:hint="eastAsia" w:ascii="Times New Roman" w:hAnsi="Times New Roman" w:eastAsia="仿宋_GB2312" w:cs="Times New Roman"/>
          <w:color w:val="auto"/>
          <w:sz w:val="32"/>
          <w:szCs w:val="32"/>
          <w:highlight w:val="none"/>
        </w:rPr>
        <w:t>拍卖经营批准证书</w:t>
      </w:r>
      <w:r>
        <w:rPr>
          <w:rFonts w:hint="eastAsia" w:ascii="Times New Roman" w:hAnsi="Times New Roman" w:eastAsia="仿宋_GB2312" w:cs="Times New Roman"/>
          <w:color w:val="auto"/>
          <w:sz w:val="32"/>
          <w:szCs w:val="32"/>
          <w:highlight w:val="none"/>
          <w:lang w:eastAsia="zh-CN"/>
        </w:rPr>
        <w:t>。</w:t>
      </w:r>
      <w:r>
        <w:rPr>
          <w:rFonts w:hint="eastAsia" w:ascii="Times New Roman" w:hAnsi="Times New Roman" w:eastAsia="仿宋_GB2312" w:cs="Times New Roman"/>
          <w:color w:val="auto"/>
          <w:sz w:val="32"/>
          <w:szCs w:val="32"/>
          <w:highlight w:val="none"/>
          <w:lang w:val="en-US" w:eastAsia="zh-CN"/>
        </w:rPr>
        <w:t>受委托单位自行打印</w:t>
      </w:r>
      <w:r>
        <w:rPr>
          <w:rFonts w:hint="eastAsia" w:ascii="Times New Roman" w:hAnsi="Times New Roman" w:eastAsia="仿宋_GB2312" w:cs="Times New Roman"/>
          <w:color w:val="auto"/>
          <w:sz w:val="32"/>
          <w:szCs w:val="32"/>
          <w:highlight w:val="none"/>
        </w:rPr>
        <w:t>拍卖经营批准证书</w:t>
      </w:r>
      <w:r>
        <w:rPr>
          <w:rFonts w:hint="eastAsia" w:ascii="Times New Roman" w:hAnsi="Times New Roman" w:eastAsia="仿宋_GB2312" w:cs="Times New Roman"/>
          <w:color w:val="auto"/>
          <w:sz w:val="32"/>
          <w:szCs w:val="32"/>
          <w:highlight w:val="none"/>
          <w:lang w:val="en-US" w:eastAsia="zh-CN"/>
        </w:rPr>
        <w:t>内容。</w:t>
      </w:r>
      <w:r>
        <w:rPr>
          <w:rFonts w:hint="eastAsia" w:ascii="Times New Roman" w:hAnsi="Times New Roman" w:eastAsia="仿宋_GB2312" w:cs="Times New Roman"/>
          <w:color w:val="auto"/>
          <w:sz w:val="32"/>
          <w:szCs w:val="32"/>
          <w:highlight w:val="none"/>
        </w:rPr>
        <w:t>新设项目</w:t>
      </w:r>
      <w:r>
        <w:rPr>
          <w:rFonts w:hint="eastAsia" w:ascii="Times New Roman" w:hAnsi="Times New Roman" w:eastAsia="仿宋_GB2312" w:cs="Times New Roman"/>
          <w:color w:val="auto"/>
          <w:sz w:val="32"/>
          <w:szCs w:val="32"/>
          <w:highlight w:val="none"/>
          <w:lang w:eastAsia="zh-CN"/>
        </w:rPr>
        <w:t>凭</w:t>
      </w:r>
      <w:r>
        <w:rPr>
          <w:rFonts w:hint="eastAsia" w:ascii="Times New Roman" w:hAnsi="Times New Roman" w:eastAsia="仿宋_GB2312" w:cs="Times New Roman"/>
          <w:color w:val="auto"/>
          <w:sz w:val="32"/>
          <w:szCs w:val="32"/>
          <w:highlight w:val="none"/>
        </w:rPr>
        <w:t>许可文件向省商务厅领取“拍卖经营批准证书编</w:t>
      </w:r>
      <w:r>
        <w:rPr>
          <w:rFonts w:hint="eastAsia" w:ascii="Times New Roman" w:hAnsi="Times New Roman" w:eastAsia="仿宋_GB2312" w:cs="Times New Roman"/>
          <w:color w:val="auto"/>
          <w:sz w:val="32"/>
          <w:szCs w:val="32"/>
          <w:highlight w:val="none"/>
          <w:lang w:eastAsia="zh-CN"/>
        </w:rPr>
        <w:t>号</w:t>
      </w:r>
      <w:r>
        <w:rPr>
          <w:rFonts w:hint="eastAsia" w:ascii="Times New Roman" w:hAnsi="Times New Roman" w:eastAsia="仿宋_GB2312" w:cs="Times New Roman"/>
          <w:color w:val="auto"/>
          <w:sz w:val="32"/>
          <w:szCs w:val="32"/>
          <w:highlight w:val="none"/>
        </w:rPr>
        <w:t>”。</w:t>
      </w:r>
      <w:r>
        <w:rPr>
          <w:rFonts w:hint="eastAsia" w:ascii="Times New Roman" w:hAnsi="Times New Roman" w:eastAsia="仿宋_GB2312" w:cs="Times New Roman"/>
          <w:color w:val="auto"/>
          <w:sz w:val="32"/>
          <w:szCs w:val="32"/>
          <w:highlight w:val="none"/>
          <w:lang w:eastAsia="zh-CN"/>
        </w:rPr>
        <w:t>受委托</w:t>
      </w:r>
      <w:r>
        <w:rPr>
          <w:rFonts w:hint="eastAsia" w:ascii="Times New Roman" w:hAnsi="Times New Roman" w:eastAsia="仿宋_GB2312" w:cs="Times New Roman"/>
          <w:color w:val="auto"/>
          <w:sz w:val="32"/>
          <w:szCs w:val="32"/>
          <w:highlight w:val="none"/>
          <w:lang w:val="en-US" w:eastAsia="zh-CN"/>
        </w:rPr>
        <w:t>单位</w:t>
      </w:r>
      <w:r>
        <w:rPr>
          <w:rFonts w:hint="eastAsia" w:ascii="Times New Roman" w:hAnsi="Times New Roman" w:eastAsia="仿宋_GB2312" w:cs="Times New Roman"/>
          <w:color w:val="auto"/>
          <w:sz w:val="32"/>
          <w:szCs w:val="32"/>
          <w:highlight w:val="none"/>
          <w:lang w:eastAsia="zh-CN"/>
        </w:rPr>
        <w:t>要</w:t>
      </w:r>
      <w:r>
        <w:rPr>
          <w:rFonts w:hint="eastAsia" w:ascii="Times New Roman" w:hAnsi="Times New Roman" w:eastAsia="仿宋_GB2312" w:cs="Times New Roman"/>
          <w:color w:val="auto"/>
          <w:sz w:val="32"/>
          <w:szCs w:val="32"/>
          <w:highlight w:val="none"/>
        </w:rPr>
        <w:t>建立完善的拍卖审批档案管理制度，妥善保存</w:t>
      </w:r>
      <w:r>
        <w:rPr>
          <w:rFonts w:hint="eastAsia" w:ascii="Times New Roman" w:hAnsi="Times New Roman" w:eastAsia="仿宋_GB2312" w:cs="Times New Roman"/>
          <w:color w:val="auto"/>
          <w:sz w:val="32"/>
          <w:szCs w:val="32"/>
          <w:highlight w:val="none"/>
          <w:lang w:val="en-US" w:eastAsia="zh-CN"/>
        </w:rPr>
        <w:t>其</w:t>
      </w:r>
      <w:r>
        <w:rPr>
          <w:rFonts w:hint="eastAsia" w:ascii="Times New Roman" w:hAnsi="Times New Roman" w:eastAsia="仿宋_GB2312" w:cs="Times New Roman"/>
          <w:color w:val="auto"/>
          <w:sz w:val="32"/>
          <w:szCs w:val="32"/>
          <w:highlight w:val="none"/>
        </w:rPr>
        <w:t>审批项目的档案材料，保存期限为</w:t>
      </w:r>
      <w:r>
        <w:rPr>
          <w:rFonts w:hint="eastAsia" w:ascii="Times New Roman" w:hAnsi="Times New Roman" w:eastAsia="仿宋_GB2312" w:cs="Times New Roman"/>
          <w:color w:val="auto"/>
          <w:sz w:val="32"/>
          <w:szCs w:val="32"/>
          <w:highlight w:val="none"/>
          <w:lang w:val="en-US" w:eastAsia="zh-CN"/>
        </w:rPr>
        <w:t>10</w:t>
      </w:r>
      <w:r>
        <w:rPr>
          <w:rFonts w:hint="eastAsia" w:ascii="Times New Roman" w:hAnsi="Times New Roman" w:eastAsia="仿宋_GB2312" w:cs="Times New Roman"/>
          <w:color w:val="auto"/>
          <w:sz w:val="32"/>
          <w:szCs w:val="32"/>
          <w:highlight w:val="none"/>
        </w:rPr>
        <w:t>年。</w:t>
      </w:r>
    </w:p>
    <w:p>
      <w:pPr>
        <w:keepNext w:val="0"/>
        <w:keepLines w:val="0"/>
        <w:pageBreakBefore w:val="0"/>
        <w:kinsoku/>
        <w:overflowPunct/>
        <w:topLinePunct w:val="0"/>
        <w:autoSpaceDE/>
        <w:autoSpaceDN/>
        <w:bidi w:val="0"/>
        <w:adjustRightInd/>
        <w:snapToGrid/>
        <w:spacing w:line="600" w:lineRule="exact"/>
        <w:ind w:left="0" w:leftChars="0" w:right="0" w:rightChars="0" w:firstLine="640" w:firstLineChars="200"/>
        <w:textAlignment w:val="auto"/>
        <w:outlineLvl w:val="9"/>
        <w:rPr>
          <w:rFonts w:ascii="Times New Roman" w:hAnsi="Times New Roman" w:eastAsia="黑体" w:cs="Times New Roman"/>
          <w:color w:val="auto"/>
          <w:sz w:val="32"/>
          <w:szCs w:val="32"/>
          <w:highlight w:val="none"/>
        </w:rPr>
      </w:pPr>
      <w:r>
        <w:rPr>
          <w:rFonts w:hint="eastAsia" w:ascii="Times New Roman" w:hAnsi="Times New Roman" w:eastAsia="仿宋_GB2312" w:cs="Times New Roman"/>
          <w:color w:val="auto"/>
          <w:sz w:val="32"/>
          <w:szCs w:val="32"/>
          <w:highlight w:val="none"/>
          <w:lang w:val="en-US" w:eastAsia="zh-CN"/>
        </w:rPr>
        <w:t>6、办理</w:t>
      </w:r>
      <w:r>
        <w:rPr>
          <w:rFonts w:hint="default" w:ascii="仿宋_GB2312" w:hAnsi="仿宋_GB2312" w:eastAsia="仿宋_GB2312" w:cs="仿宋_GB2312"/>
          <w:color w:val="auto"/>
          <w:sz w:val="32"/>
          <w:szCs w:val="32"/>
          <w:highlight w:val="none"/>
          <w:lang w:val="en-US" w:eastAsia="zh-CN"/>
        </w:rPr>
        <w:t>二手车交易市场经营者和二手车经营主体备案</w:t>
      </w:r>
      <w:r>
        <w:rPr>
          <w:rFonts w:hint="eastAsia" w:ascii="仿宋_GB2312" w:hAnsi="仿宋_GB2312" w:eastAsia="仿宋_GB2312" w:cs="仿宋_GB2312"/>
          <w:color w:val="auto"/>
          <w:sz w:val="32"/>
          <w:szCs w:val="32"/>
          <w:highlight w:val="none"/>
          <w:lang w:val="en-US" w:eastAsia="zh-CN"/>
        </w:rPr>
        <w:t>业务，</w:t>
      </w:r>
      <w:r>
        <w:rPr>
          <w:rFonts w:hint="eastAsia" w:ascii="Times New Roman" w:hAnsi="Times New Roman" w:eastAsia="仿宋_GB2312" w:cs="Times New Roman"/>
          <w:color w:val="auto"/>
          <w:sz w:val="32"/>
          <w:szCs w:val="32"/>
          <w:highlight w:val="none"/>
          <w:lang w:val="en-US" w:eastAsia="zh-CN"/>
        </w:rPr>
        <w:t>应向同级公安、税务部门推送二手车交易市场和二手车经营主体备案名单。依法取消二手车交易市场和二手车经营主体备案后，应及时向同级公安、税务部门推送名单。</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四、责任划分</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（一）委托单位依法承担受委托单位在委托权限范围内以委托单位名义实施权力事项的法律责任。委托单位承担相应责任后，可以根据受委托单位的过错责任大小，依法予以追责。</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（二）受委托单位依法承担以自己的名义或者超越委托权限范围实施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委托权力事项产生的法律后果；依法承担实施委托权力事项过程中因受委托单位过错所产生的法律责任。</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五、协议的解除与终止</w:t>
      </w:r>
    </w:p>
    <w:p>
      <w:pPr>
        <w:spacing w:line="600" w:lineRule="exact"/>
        <w:ind w:firstLine="480" w:firstLineChars="15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（一）受委托单位有下列情形之一的，委托单位可以解除本委托协议书或本委托协议书的部分条款，收回委托权力事项或部分委托权力事项：</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1、未落实有关权力事项义务以及委托实施方案内容，造成</w:t>
      </w:r>
      <w:r>
        <w:rPr>
          <w:rFonts w:hint="eastAsia" w:ascii="Times New Roman" w:hAnsi="Times New Roman" w:eastAsia="仿宋_GB2312" w:cs="Times New Roman"/>
          <w:color w:val="auto"/>
          <w:sz w:val="32"/>
          <w:szCs w:val="32"/>
          <w:highlight w:val="none"/>
        </w:rPr>
        <w:t>审批和执法不当现象</w:t>
      </w:r>
      <w:r>
        <w:rPr>
          <w:rFonts w:ascii="Times New Roman" w:hAnsi="Times New Roman" w:eastAsia="仿宋_GB2312" w:cs="Times New Roman"/>
          <w:color w:val="auto"/>
          <w:sz w:val="32"/>
          <w:szCs w:val="32"/>
          <w:highlight w:val="none"/>
        </w:rPr>
        <w:t>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2、将委托权力事项再委托给其他公民、法人或者其他组织实施的。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3、在履行职责过程中发生严重违法违规行为并经核实的。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4、其他严重影响委托权力事项行使的情形。</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（二）有下列情形之一的，本委托协议书终止：</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1、因法律法规或政策调整等原因导致委托事项无法实施或不再需要以委托方式实施的。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2、委托单位经评估决定不宜再委托受委托单位实施的。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3、委托单位的职能发生改变，不再具有相关权力事项的。</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4、在委托实施过程中，受委托单位被撤销的。</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六、监管措施</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1、委托实施的权力事项须纳入当地政务服务监管。</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2、委托单位应当通过日常检查、随机抽查等方式，加强对受委托单位实施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委托权力事项情况的检查，对发现的问题有权责令受委托单位限期改正；对受委托单位实施</w:t>
      </w:r>
      <w:r>
        <w:rPr>
          <w:rFonts w:hint="eastAsia" w:ascii="Times New Roman" w:hAnsi="Times New Roman" w:eastAsia="仿宋_GB2312" w:cs="Times New Roman"/>
          <w:color w:val="auto"/>
          <w:sz w:val="32"/>
          <w:szCs w:val="32"/>
          <w:highlight w:val="none"/>
        </w:rPr>
        <w:t>受</w:t>
      </w:r>
      <w:r>
        <w:rPr>
          <w:rFonts w:ascii="Times New Roman" w:hAnsi="Times New Roman" w:eastAsia="仿宋_GB2312" w:cs="Times New Roman"/>
          <w:color w:val="auto"/>
          <w:sz w:val="32"/>
          <w:szCs w:val="32"/>
          <w:highlight w:val="none"/>
        </w:rPr>
        <w:t>委托权力事项过程中违法或者不适当的行政许可行为有权予以纠正或者撤销。</w:t>
      </w:r>
    </w:p>
    <w:p>
      <w:pPr>
        <w:spacing w:line="600" w:lineRule="exact"/>
        <w:ind w:firstLine="640" w:firstLineChars="200"/>
        <w:rPr>
          <w:rFonts w:ascii="Times New Roman" w:hAnsi="Times New Roman" w:eastAsia="黑体" w:cs="Times New Roman"/>
          <w:color w:val="auto"/>
          <w:sz w:val="32"/>
          <w:szCs w:val="32"/>
          <w:highlight w:val="none"/>
        </w:rPr>
      </w:pPr>
      <w:r>
        <w:rPr>
          <w:rFonts w:ascii="Times New Roman" w:hAnsi="Times New Roman" w:eastAsia="黑体" w:cs="Times New Roman"/>
          <w:color w:val="auto"/>
          <w:sz w:val="32"/>
          <w:szCs w:val="32"/>
          <w:highlight w:val="none"/>
        </w:rPr>
        <w:t>七、其他约定</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（一）本委托协议书自双方法定代表人签字并加盖公章之日起生效。</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（二）本委托协议书未尽事宜</w:t>
      </w:r>
      <w:r>
        <w:rPr>
          <w:rFonts w:hint="eastAsia" w:ascii="Times New Roman" w:hAnsi="Times New Roman" w:eastAsia="仿宋_GB2312" w:cs="Times New Roman"/>
          <w:color w:val="auto"/>
          <w:sz w:val="32"/>
          <w:szCs w:val="32"/>
          <w:highlight w:val="none"/>
        </w:rPr>
        <w:t>或</w:t>
      </w:r>
      <w:r>
        <w:rPr>
          <w:rFonts w:ascii="Times New Roman" w:hAnsi="Times New Roman" w:eastAsia="仿宋_GB2312" w:cs="Times New Roman"/>
          <w:color w:val="auto"/>
          <w:sz w:val="32"/>
          <w:szCs w:val="32"/>
          <w:highlight w:val="none"/>
        </w:rPr>
        <w:t>国家有关管理</w:t>
      </w:r>
      <w:r>
        <w:rPr>
          <w:rFonts w:hint="eastAsia" w:ascii="Times New Roman" w:hAnsi="Times New Roman" w:eastAsia="仿宋_GB2312" w:cs="Times New Roman"/>
          <w:color w:val="auto"/>
          <w:sz w:val="32"/>
          <w:szCs w:val="32"/>
          <w:highlight w:val="none"/>
        </w:rPr>
        <w:t>办法</w:t>
      </w:r>
      <w:r>
        <w:rPr>
          <w:rFonts w:ascii="Times New Roman" w:hAnsi="Times New Roman" w:eastAsia="仿宋_GB2312" w:cs="Times New Roman"/>
          <w:color w:val="auto"/>
          <w:sz w:val="32"/>
          <w:szCs w:val="32"/>
          <w:highlight w:val="none"/>
        </w:rPr>
        <w:t>规定调整，由双方协商解决，可以签订补充协议，补充协议与本协议书具有同等法律效力。</w:t>
      </w:r>
      <w:r>
        <w:rPr>
          <w:rFonts w:hint="eastAsia" w:ascii="Times New Roman" w:hAnsi="Times New Roman" w:eastAsia="仿宋_GB2312" w:cs="Times New Roman"/>
          <w:color w:val="auto"/>
          <w:sz w:val="32"/>
          <w:szCs w:val="32"/>
          <w:highlight w:val="none"/>
        </w:rPr>
        <w:t>各地在执行过程中遇有问题，及时向省商务厅反映</w:t>
      </w:r>
      <w:r>
        <w:rPr>
          <w:rFonts w:hint="eastAsia" w:ascii="Times New Roman" w:hAnsi="Times New Roman" w:eastAsia="仿宋_GB2312" w:cs="Times New Roman"/>
          <w:color w:val="auto"/>
          <w:sz w:val="32"/>
          <w:szCs w:val="32"/>
          <w:highlight w:val="none"/>
          <w:lang w:eastAsia="zh-CN"/>
        </w:rPr>
        <w:t>。</w:t>
      </w:r>
    </w:p>
    <w:p>
      <w:pPr>
        <w:spacing w:line="600" w:lineRule="exact"/>
        <w:ind w:firstLine="640" w:firstLineChars="200"/>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（三）本委托协议书一式肆份，委托单位和受委托单位各执贰份。</w:t>
      </w:r>
    </w:p>
    <w:p>
      <w:pPr>
        <w:spacing w:line="600" w:lineRule="exact"/>
        <w:rPr>
          <w:rFonts w:ascii="Times New Roman" w:hAnsi="Times New Roman" w:eastAsia="仿宋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委托单位（盖章）                        受委托单位（盖章）</w:t>
      </w:r>
    </w:p>
    <w:p>
      <w:pPr>
        <w:spacing w:line="600" w:lineRule="exact"/>
        <w:rPr>
          <w:rFonts w:hint="default"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山东省商务厅                           青岛市商务局</w:t>
      </w:r>
    </w:p>
    <w:p>
      <w:pPr>
        <w:spacing w:line="600" w:lineRule="exact"/>
        <w:rPr>
          <w:rFonts w:ascii="Times New Roman" w:hAnsi="Times New Roman" w:eastAsia="仿宋_GB2312" w:cs="Times New Roman"/>
          <w:color w:val="auto"/>
          <w:sz w:val="32"/>
          <w:szCs w:val="32"/>
          <w:highlight w:val="none"/>
        </w:rPr>
      </w:pPr>
    </w:p>
    <w:p>
      <w:pPr>
        <w:spacing w:line="600" w:lineRule="exact"/>
        <w:rPr>
          <w:rFonts w:hint="default" w:ascii="Times New Roman" w:hAnsi="Times New Roman" w:eastAsia="仿宋_GB2312" w:cs="Times New Roman"/>
          <w:color w:val="auto"/>
          <w:sz w:val="32"/>
          <w:szCs w:val="32"/>
          <w:highlight w:val="none"/>
          <w:lang w:val="en-US" w:eastAsia="zh-CN"/>
        </w:rPr>
      </w:pPr>
      <w:r>
        <w:rPr>
          <w:rFonts w:ascii="Times New Roman" w:hAnsi="Times New Roman" w:eastAsia="仿宋_GB2312" w:cs="Times New Roman"/>
          <w:color w:val="auto"/>
          <w:sz w:val="32"/>
          <w:szCs w:val="32"/>
          <w:highlight w:val="none"/>
        </w:rPr>
        <w:t>法定代表人：</w:t>
      </w:r>
      <w:r>
        <w:rPr>
          <w:rFonts w:hint="eastAsia" w:ascii="Times New Roman" w:hAnsi="Times New Roman" w:eastAsia="仿宋_GB2312" w:cs="Times New Roman"/>
          <w:color w:val="auto"/>
          <w:sz w:val="32"/>
          <w:szCs w:val="32"/>
          <w:highlight w:val="none"/>
          <w:lang w:val="en-US" w:eastAsia="zh-CN"/>
        </w:rPr>
        <w:t>张德平</w:t>
      </w:r>
      <w:r>
        <w:rPr>
          <w:rFonts w:ascii="Times New Roman" w:hAnsi="Times New Roman" w:eastAsia="仿宋_GB2312" w:cs="Times New Roman"/>
          <w:color w:val="auto"/>
          <w:sz w:val="32"/>
          <w:szCs w:val="32"/>
          <w:highlight w:val="none"/>
        </w:rPr>
        <w:t xml:space="preserve">              </w:t>
      </w:r>
      <w:r>
        <w:rPr>
          <w:rFonts w:hint="eastAsia" w:ascii="Times New Roman" w:hAnsi="Times New Roman" w:eastAsia="仿宋_GB2312" w:cs="Times New Roman"/>
          <w:color w:val="auto"/>
          <w:sz w:val="32"/>
          <w:szCs w:val="32"/>
          <w:highlight w:val="none"/>
          <w:lang w:val="en-US" w:eastAsia="zh-CN"/>
        </w:rPr>
        <w:t xml:space="preserve"> </w:t>
      </w:r>
      <w:r>
        <w:rPr>
          <w:rFonts w:ascii="Times New Roman" w:hAnsi="Times New Roman" w:eastAsia="仿宋_GB2312" w:cs="Times New Roman"/>
          <w:color w:val="auto"/>
          <w:sz w:val="32"/>
          <w:szCs w:val="32"/>
          <w:highlight w:val="none"/>
        </w:rPr>
        <w:t xml:space="preserve"> 法定代表人：</w:t>
      </w:r>
      <w:r>
        <w:rPr>
          <w:rFonts w:hint="eastAsia" w:ascii="Times New Roman" w:hAnsi="Times New Roman" w:eastAsia="仿宋_GB2312" w:cs="Times New Roman"/>
          <w:color w:val="auto"/>
          <w:sz w:val="32"/>
          <w:szCs w:val="32"/>
          <w:highlight w:val="none"/>
          <w:lang w:val="en-US" w:eastAsia="zh-CN"/>
        </w:rPr>
        <w:t>李苏满</w:t>
      </w:r>
    </w:p>
    <w:p>
      <w:pPr>
        <w:spacing w:line="600" w:lineRule="exact"/>
        <w:rPr>
          <w:rFonts w:ascii="Times New Roman" w:hAnsi="Times New Roman" w:eastAsia="仿宋_GB2312" w:cs="Times New Roman"/>
          <w:color w:val="auto"/>
          <w:sz w:val="32"/>
          <w:szCs w:val="32"/>
          <w:highlight w:val="none"/>
        </w:rPr>
      </w:pPr>
    </w:p>
    <w:p>
      <w:pPr>
        <w:pStyle w:val="2"/>
        <w:spacing w:line="600" w:lineRule="exact"/>
        <w:rPr>
          <w:rFonts w:hint="eastAsia" w:ascii="Times New Roman" w:hAnsi="Times New Roman" w:eastAsia="仿宋_GB2312"/>
          <w:color w:val="auto"/>
          <w:highlight w:val="none"/>
          <w:lang w:val="en-US" w:eastAsia="zh-CN"/>
        </w:rPr>
      </w:pPr>
      <w:r>
        <w:rPr>
          <w:rFonts w:hint="eastAsia" w:ascii="Times New Roman" w:hAnsi="Times New Roman"/>
          <w:color w:val="auto"/>
          <w:highlight w:val="none"/>
          <w:lang w:val="en-US" w:eastAsia="zh-CN"/>
        </w:rPr>
        <w:t xml:space="preserve"> </w:t>
      </w:r>
    </w:p>
    <w:p>
      <w:pPr>
        <w:spacing w:line="600" w:lineRule="exact"/>
        <w:rPr>
          <w:rFonts w:ascii="Times New Roman" w:hAnsi="Times New Roman" w:eastAsia="仿宋_GB2312" w:cs="Times New Roman"/>
          <w:color w:val="auto"/>
          <w:sz w:val="32"/>
          <w:szCs w:val="32"/>
          <w:highlight w:val="none"/>
        </w:rPr>
      </w:pPr>
      <w:r>
        <w:rPr>
          <w:rFonts w:ascii="Times New Roman" w:hAnsi="Times New Roman" w:eastAsia="仿宋_GB2312" w:cs="Times New Roman"/>
          <w:color w:val="auto"/>
          <w:sz w:val="32"/>
          <w:szCs w:val="32"/>
          <w:highlight w:val="none"/>
        </w:rPr>
        <w:t>日期：</w:t>
      </w:r>
      <w:r>
        <w:rPr>
          <w:rFonts w:hint="eastAsia" w:ascii="Times New Roman" w:hAnsi="Times New Roman" w:eastAsia="仿宋_GB2312" w:cs="Times New Roman"/>
          <w:color w:val="auto"/>
          <w:sz w:val="32"/>
          <w:szCs w:val="32"/>
          <w:highlight w:val="none"/>
          <w:lang w:val="en-US" w:eastAsia="zh-CN"/>
        </w:rPr>
        <w:t>2020</w:t>
      </w:r>
      <w:r>
        <w:rPr>
          <w:rFonts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20</w:t>
      </w:r>
      <w:r>
        <w:rPr>
          <w:rFonts w:ascii="Times New Roman" w:hAnsi="Times New Roman" w:eastAsia="仿宋_GB2312" w:cs="Times New Roman"/>
          <w:color w:val="auto"/>
          <w:sz w:val="32"/>
          <w:szCs w:val="32"/>
          <w:highlight w:val="none"/>
        </w:rPr>
        <w:t xml:space="preserve">日            </w:t>
      </w:r>
      <w:bookmarkStart w:id="0" w:name="_GoBack"/>
      <w:bookmarkEnd w:id="0"/>
      <w:r>
        <w:rPr>
          <w:rFonts w:ascii="Times New Roman" w:hAnsi="Times New Roman" w:eastAsia="仿宋_GB2312" w:cs="Times New Roman"/>
          <w:color w:val="auto"/>
          <w:sz w:val="32"/>
          <w:szCs w:val="32"/>
          <w:highlight w:val="none"/>
        </w:rPr>
        <w:t>日期：</w:t>
      </w:r>
      <w:r>
        <w:rPr>
          <w:rFonts w:hint="eastAsia" w:ascii="Times New Roman" w:hAnsi="Times New Roman" w:eastAsia="仿宋_GB2312" w:cs="Times New Roman"/>
          <w:color w:val="auto"/>
          <w:sz w:val="32"/>
          <w:szCs w:val="32"/>
          <w:highlight w:val="none"/>
          <w:lang w:val="en-US" w:eastAsia="zh-CN"/>
        </w:rPr>
        <w:t>2020</w:t>
      </w:r>
      <w:r>
        <w:rPr>
          <w:rFonts w:ascii="Times New Roman" w:hAnsi="Times New Roman" w:eastAsia="仿宋_GB2312" w:cs="Times New Roman"/>
          <w:color w:val="auto"/>
          <w:sz w:val="32"/>
          <w:szCs w:val="32"/>
          <w:highlight w:val="none"/>
        </w:rPr>
        <w:t>年</w:t>
      </w:r>
      <w:r>
        <w:rPr>
          <w:rFonts w:hint="eastAsia" w:ascii="Times New Roman" w:hAnsi="Times New Roman" w:eastAsia="仿宋_GB2312" w:cs="Times New Roman"/>
          <w:color w:val="auto"/>
          <w:sz w:val="32"/>
          <w:szCs w:val="32"/>
          <w:highlight w:val="none"/>
          <w:lang w:val="en-US" w:eastAsia="zh-CN"/>
        </w:rPr>
        <w:t>9</w:t>
      </w:r>
      <w:r>
        <w:rPr>
          <w:rFonts w:ascii="Times New Roman" w:hAnsi="Times New Roman" w:eastAsia="仿宋_GB2312" w:cs="Times New Roman"/>
          <w:color w:val="auto"/>
          <w:sz w:val="32"/>
          <w:szCs w:val="32"/>
          <w:highlight w:val="none"/>
        </w:rPr>
        <w:t>月</w:t>
      </w:r>
      <w:r>
        <w:rPr>
          <w:rFonts w:hint="eastAsia" w:ascii="Times New Roman" w:hAnsi="Times New Roman" w:eastAsia="仿宋_GB2312" w:cs="Times New Roman"/>
          <w:color w:val="auto"/>
          <w:sz w:val="32"/>
          <w:szCs w:val="32"/>
          <w:highlight w:val="none"/>
          <w:lang w:val="en-US" w:eastAsia="zh-CN"/>
        </w:rPr>
        <w:t>20</w:t>
      </w:r>
      <w:r>
        <w:rPr>
          <w:rFonts w:ascii="Times New Roman" w:hAnsi="Times New Roman" w:eastAsia="仿宋_GB2312" w:cs="Times New Roman"/>
          <w:color w:val="auto"/>
          <w:sz w:val="32"/>
          <w:szCs w:val="32"/>
          <w:highlight w:val="none"/>
        </w:rPr>
        <w:t>日</w:t>
      </w:r>
    </w:p>
    <w:sectPr>
      <w:headerReference r:id="rId3" w:type="default"/>
      <w:footerReference r:id="rId4" w:type="default"/>
      <w:pgSz w:w="11906" w:h="16838"/>
      <w:pgMar w:top="2098" w:right="1474" w:bottom="1984" w:left="1587" w:header="851" w:footer="992" w:gutter="0"/>
      <w:pgNumType w:fmt="numberInDash"/>
      <w:cols w:space="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Menlo">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sz w:val="1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- 3 -</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snapToGrid w:val="0"/>
                      <w:rPr>
                        <w:sz w:val="1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t>- 3 -</w:t>
                    </w:r>
                    <w:r>
                      <w:rPr>
                        <w:rFonts w:ascii="Times New Roman" w:hAnsi="Times New Roman" w:cs="Times New Roman"/>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zMTQzZmY0ZmZlZjQwZmY0ODZlYjgxZDMzNTIxOTgifQ=="/>
  </w:docVars>
  <w:rsids>
    <w:rsidRoot w:val="68D15A90"/>
    <w:rsid w:val="00197CB8"/>
    <w:rsid w:val="0024621B"/>
    <w:rsid w:val="00284624"/>
    <w:rsid w:val="00514E1A"/>
    <w:rsid w:val="006335AF"/>
    <w:rsid w:val="00A76622"/>
    <w:rsid w:val="00C26660"/>
    <w:rsid w:val="010C0545"/>
    <w:rsid w:val="01CA1BFC"/>
    <w:rsid w:val="022E51A4"/>
    <w:rsid w:val="035D2013"/>
    <w:rsid w:val="03713232"/>
    <w:rsid w:val="03CE5313"/>
    <w:rsid w:val="046C21D0"/>
    <w:rsid w:val="059F5A75"/>
    <w:rsid w:val="05E661B9"/>
    <w:rsid w:val="05FB615F"/>
    <w:rsid w:val="084F532E"/>
    <w:rsid w:val="09282B8E"/>
    <w:rsid w:val="09F0285C"/>
    <w:rsid w:val="0A48676E"/>
    <w:rsid w:val="0A7A7C5C"/>
    <w:rsid w:val="0A864054"/>
    <w:rsid w:val="0AB30957"/>
    <w:rsid w:val="0AB97D26"/>
    <w:rsid w:val="0AE230E9"/>
    <w:rsid w:val="0C1363F4"/>
    <w:rsid w:val="0C403025"/>
    <w:rsid w:val="0CB50A66"/>
    <w:rsid w:val="0CD12914"/>
    <w:rsid w:val="0DB852CD"/>
    <w:rsid w:val="0E4214F1"/>
    <w:rsid w:val="0F663BD2"/>
    <w:rsid w:val="0FE20F9D"/>
    <w:rsid w:val="0FEB602A"/>
    <w:rsid w:val="1007595A"/>
    <w:rsid w:val="1012756E"/>
    <w:rsid w:val="11C720B8"/>
    <w:rsid w:val="134B7CB5"/>
    <w:rsid w:val="137974FF"/>
    <w:rsid w:val="13BA5D6B"/>
    <w:rsid w:val="13CD4D8B"/>
    <w:rsid w:val="144C52D9"/>
    <w:rsid w:val="15003E83"/>
    <w:rsid w:val="16281367"/>
    <w:rsid w:val="16317A78"/>
    <w:rsid w:val="16BF2B60"/>
    <w:rsid w:val="16FD0446"/>
    <w:rsid w:val="17A51B58"/>
    <w:rsid w:val="185F2EEC"/>
    <w:rsid w:val="197907DA"/>
    <w:rsid w:val="198739F3"/>
    <w:rsid w:val="1A49562F"/>
    <w:rsid w:val="1AA90ECC"/>
    <w:rsid w:val="1BAC19F3"/>
    <w:rsid w:val="1BD50639"/>
    <w:rsid w:val="1D0F3839"/>
    <w:rsid w:val="1DDE7197"/>
    <w:rsid w:val="1E181AED"/>
    <w:rsid w:val="1E800217"/>
    <w:rsid w:val="1F2C6132"/>
    <w:rsid w:val="201715B2"/>
    <w:rsid w:val="201F6D73"/>
    <w:rsid w:val="20D94EF4"/>
    <w:rsid w:val="20E17D82"/>
    <w:rsid w:val="21230CE3"/>
    <w:rsid w:val="22D00135"/>
    <w:rsid w:val="23A83A0D"/>
    <w:rsid w:val="23C47ABA"/>
    <w:rsid w:val="2443168D"/>
    <w:rsid w:val="248523E5"/>
    <w:rsid w:val="24AF2F3B"/>
    <w:rsid w:val="24F126D9"/>
    <w:rsid w:val="252A6107"/>
    <w:rsid w:val="266F2F1B"/>
    <w:rsid w:val="27A06B10"/>
    <w:rsid w:val="28DA5551"/>
    <w:rsid w:val="293E52B8"/>
    <w:rsid w:val="294604C6"/>
    <w:rsid w:val="2A1222D7"/>
    <w:rsid w:val="2A173840"/>
    <w:rsid w:val="2A2D4F40"/>
    <w:rsid w:val="2B762959"/>
    <w:rsid w:val="2B81694C"/>
    <w:rsid w:val="2BF25FA4"/>
    <w:rsid w:val="2C503941"/>
    <w:rsid w:val="2C847C59"/>
    <w:rsid w:val="2D5269E7"/>
    <w:rsid w:val="2DF1306D"/>
    <w:rsid w:val="2E8637FD"/>
    <w:rsid w:val="2E924DF5"/>
    <w:rsid w:val="2EFB306C"/>
    <w:rsid w:val="2F956FA1"/>
    <w:rsid w:val="310C0F74"/>
    <w:rsid w:val="31AB088A"/>
    <w:rsid w:val="31C52F43"/>
    <w:rsid w:val="31D53C4D"/>
    <w:rsid w:val="31E96171"/>
    <w:rsid w:val="32106030"/>
    <w:rsid w:val="321118B3"/>
    <w:rsid w:val="326225B7"/>
    <w:rsid w:val="32A92D2C"/>
    <w:rsid w:val="345F6B7A"/>
    <w:rsid w:val="347A344E"/>
    <w:rsid w:val="354E4284"/>
    <w:rsid w:val="36113FC2"/>
    <w:rsid w:val="36273F67"/>
    <w:rsid w:val="36AE1139"/>
    <w:rsid w:val="36E865A3"/>
    <w:rsid w:val="37055B53"/>
    <w:rsid w:val="370A1FDB"/>
    <w:rsid w:val="37F62EDD"/>
    <w:rsid w:val="3908621E"/>
    <w:rsid w:val="3A1976E0"/>
    <w:rsid w:val="3A884F09"/>
    <w:rsid w:val="3AA2053D"/>
    <w:rsid w:val="3ACE0108"/>
    <w:rsid w:val="3B243095"/>
    <w:rsid w:val="3BEE5FE1"/>
    <w:rsid w:val="3D0535AB"/>
    <w:rsid w:val="3D390582"/>
    <w:rsid w:val="3DEF7D84"/>
    <w:rsid w:val="3E6853F0"/>
    <w:rsid w:val="3E71461D"/>
    <w:rsid w:val="3F2F1936"/>
    <w:rsid w:val="40B9143D"/>
    <w:rsid w:val="41FD4053"/>
    <w:rsid w:val="428A38B6"/>
    <w:rsid w:val="433C6F5D"/>
    <w:rsid w:val="447D7569"/>
    <w:rsid w:val="45635ED2"/>
    <w:rsid w:val="46336C3B"/>
    <w:rsid w:val="4647057B"/>
    <w:rsid w:val="46B55F0F"/>
    <w:rsid w:val="479245F9"/>
    <w:rsid w:val="49190F7D"/>
    <w:rsid w:val="49272491"/>
    <w:rsid w:val="49447842"/>
    <w:rsid w:val="49C76797"/>
    <w:rsid w:val="49F72B69"/>
    <w:rsid w:val="4A125911"/>
    <w:rsid w:val="4B5A49AF"/>
    <w:rsid w:val="4CE74D72"/>
    <w:rsid w:val="4D2A6466"/>
    <w:rsid w:val="4D8E364A"/>
    <w:rsid w:val="4D940607"/>
    <w:rsid w:val="4E9066F0"/>
    <w:rsid w:val="4F604537"/>
    <w:rsid w:val="50D74CC2"/>
    <w:rsid w:val="515371F8"/>
    <w:rsid w:val="51A072F7"/>
    <w:rsid w:val="51E02EF5"/>
    <w:rsid w:val="521C7F46"/>
    <w:rsid w:val="524B7790"/>
    <w:rsid w:val="53450CAD"/>
    <w:rsid w:val="540C43E9"/>
    <w:rsid w:val="54583FED"/>
    <w:rsid w:val="55FC1227"/>
    <w:rsid w:val="56137B46"/>
    <w:rsid w:val="57482141"/>
    <w:rsid w:val="5761526A"/>
    <w:rsid w:val="579F72CD"/>
    <w:rsid w:val="58214023"/>
    <w:rsid w:val="594453FF"/>
    <w:rsid w:val="59523B41"/>
    <w:rsid w:val="5967213C"/>
    <w:rsid w:val="5ABF62FE"/>
    <w:rsid w:val="5AED79B9"/>
    <w:rsid w:val="5B4516CD"/>
    <w:rsid w:val="5DF80D47"/>
    <w:rsid w:val="5F026A10"/>
    <w:rsid w:val="5F2312FC"/>
    <w:rsid w:val="5F3A0295"/>
    <w:rsid w:val="5FB437F8"/>
    <w:rsid w:val="606B19BF"/>
    <w:rsid w:val="60785451"/>
    <w:rsid w:val="60A4759A"/>
    <w:rsid w:val="60AF33AD"/>
    <w:rsid w:val="612742F0"/>
    <w:rsid w:val="62782999"/>
    <w:rsid w:val="62B66AFB"/>
    <w:rsid w:val="63551FF0"/>
    <w:rsid w:val="63606CA0"/>
    <w:rsid w:val="63A562DD"/>
    <w:rsid w:val="64343F73"/>
    <w:rsid w:val="658E0D43"/>
    <w:rsid w:val="66106595"/>
    <w:rsid w:val="66803B38"/>
    <w:rsid w:val="673447AA"/>
    <w:rsid w:val="67410EC2"/>
    <w:rsid w:val="67420507"/>
    <w:rsid w:val="679A7B08"/>
    <w:rsid w:val="68490BA5"/>
    <w:rsid w:val="688E6FEE"/>
    <w:rsid w:val="68A512BF"/>
    <w:rsid w:val="68D15A90"/>
    <w:rsid w:val="69010354"/>
    <w:rsid w:val="69087CDF"/>
    <w:rsid w:val="697E31A1"/>
    <w:rsid w:val="6C2C7587"/>
    <w:rsid w:val="6DF523F6"/>
    <w:rsid w:val="6E5D440D"/>
    <w:rsid w:val="6E6910B0"/>
    <w:rsid w:val="6EB87F35"/>
    <w:rsid w:val="6ECA7E4F"/>
    <w:rsid w:val="70880E7B"/>
    <w:rsid w:val="70CD3D9D"/>
    <w:rsid w:val="70FB13E9"/>
    <w:rsid w:val="71066EA7"/>
    <w:rsid w:val="71B8501F"/>
    <w:rsid w:val="71E91071"/>
    <w:rsid w:val="727069CC"/>
    <w:rsid w:val="72C20D55"/>
    <w:rsid w:val="740500E7"/>
    <w:rsid w:val="75313FD1"/>
    <w:rsid w:val="75373CDC"/>
    <w:rsid w:val="76461249"/>
    <w:rsid w:val="77902BB7"/>
    <w:rsid w:val="77D52026"/>
    <w:rsid w:val="78222126"/>
    <w:rsid w:val="78446385"/>
    <w:rsid w:val="79940D02"/>
    <w:rsid w:val="79ED1F85"/>
    <w:rsid w:val="7A427E92"/>
    <w:rsid w:val="7A6C09E6"/>
    <w:rsid w:val="7AD329E5"/>
    <w:rsid w:val="7BD0671A"/>
    <w:rsid w:val="7C4A7F77"/>
    <w:rsid w:val="7C89596B"/>
    <w:rsid w:val="7D610354"/>
    <w:rsid w:val="7D730CDE"/>
    <w:rsid w:val="7DA372AE"/>
    <w:rsid w:val="7DA75CB5"/>
    <w:rsid w:val="7DAE5640"/>
    <w:rsid w:val="7E2255FE"/>
    <w:rsid w:val="7E6A37F4"/>
    <w:rsid w:val="7F5F2398"/>
    <w:rsid w:val="7F6E4F4F"/>
    <w:rsid w:val="7F8E22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0"/>
    <w:rPr>
      <w:rFonts w:ascii="Calibri" w:hAnsi="Calibri" w:eastAsia="仿宋_GB2312" w:cs="Times New Roman"/>
      <w:sz w:val="32"/>
      <w:szCs w:val="2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5">
    <w:name w:val="Normal (Web)"/>
    <w:basedOn w:val="1"/>
    <w:qFormat/>
    <w:uiPriority w:val="0"/>
    <w:pPr>
      <w:jc w:val="left"/>
    </w:pPr>
    <w:rPr>
      <w:rFonts w:cs="Times New Roman"/>
      <w:kern w:val="0"/>
      <w:sz w:val="24"/>
    </w:rPr>
  </w:style>
  <w:style w:type="character" w:styleId="8">
    <w:name w:val="Strong"/>
    <w:basedOn w:val="7"/>
    <w:qFormat/>
    <w:uiPriority w:val="0"/>
    <w:rPr>
      <w:b/>
    </w:rPr>
  </w:style>
  <w:style w:type="character" w:styleId="9">
    <w:name w:val="FollowedHyperlink"/>
    <w:basedOn w:val="7"/>
    <w:qFormat/>
    <w:uiPriority w:val="0"/>
    <w:rPr>
      <w:color w:val="800080"/>
      <w:u w:val="none"/>
    </w:rPr>
  </w:style>
  <w:style w:type="character" w:styleId="10">
    <w:name w:val="HTML Definition"/>
    <w:basedOn w:val="7"/>
    <w:qFormat/>
    <w:uiPriority w:val="0"/>
    <w:rPr>
      <w:i/>
    </w:rPr>
  </w:style>
  <w:style w:type="character" w:styleId="11">
    <w:name w:val="Hyperlink"/>
    <w:basedOn w:val="7"/>
    <w:qFormat/>
    <w:uiPriority w:val="0"/>
    <w:rPr>
      <w:color w:val="0000FF"/>
      <w:u w:val="none"/>
    </w:rPr>
  </w:style>
  <w:style w:type="character" w:styleId="12">
    <w:name w:val="HTML Code"/>
    <w:basedOn w:val="7"/>
    <w:qFormat/>
    <w:uiPriority w:val="0"/>
    <w:rPr>
      <w:rFonts w:ascii="Menlo" w:hAnsi="Menlo" w:eastAsia="Menlo" w:cs="Menlo"/>
      <w:color w:val="C7254E"/>
      <w:sz w:val="21"/>
      <w:szCs w:val="21"/>
      <w:shd w:val="clear" w:color="auto" w:fill="F9F2F4"/>
    </w:rPr>
  </w:style>
  <w:style w:type="character" w:styleId="13">
    <w:name w:val="HTML Keyboard"/>
    <w:basedOn w:val="7"/>
    <w:qFormat/>
    <w:uiPriority w:val="0"/>
    <w:rPr>
      <w:rFonts w:hint="default" w:ascii="Menlo" w:hAnsi="Menlo" w:eastAsia="Menlo" w:cs="Menlo"/>
      <w:color w:val="FFFFFF"/>
      <w:sz w:val="21"/>
      <w:szCs w:val="21"/>
      <w:shd w:val="clear" w:color="auto" w:fill="333333"/>
    </w:rPr>
  </w:style>
  <w:style w:type="character" w:styleId="14">
    <w:name w:val="HTML Sample"/>
    <w:basedOn w:val="7"/>
    <w:uiPriority w:val="0"/>
    <w:rPr>
      <w:rFonts w:hint="default" w:ascii="Menlo" w:hAnsi="Menlo" w:eastAsia="Menlo" w:cs="Menlo"/>
      <w:sz w:val="21"/>
      <w:szCs w:val="21"/>
    </w:rPr>
  </w:style>
  <w:style w:type="character" w:customStyle="1" w:styleId="15">
    <w:name w:val="font11"/>
    <w:basedOn w:val="7"/>
    <w:qFormat/>
    <w:uiPriority w:val="0"/>
    <w:rPr>
      <w:rFonts w:hint="default" w:ascii="Times New Roman" w:hAnsi="Times New Roman" w:cs="Times New Roman"/>
      <w:color w:val="000000"/>
      <w:sz w:val="28"/>
      <w:szCs w:val="28"/>
      <w:u w:val="none"/>
    </w:rPr>
  </w:style>
  <w:style w:type="character" w:customStyle="1" w:styleId="16">
    <w:name w:val="font01"/>
    <w:basedOn w:val="7"/>
    <w:qFormat/>
    <w:uiPriority w:val="0"/>
    <w:rPr>
      <w:rFonts w:hint="eastAsia" w:ascii="宋体" w:hAnsi="宋体" w:eastAsia="宋体" w:cs="宋体"/>
      <w:color w:val="000000"/>
      <w:sz w:val="28"/>
      <w:szCs w:val="28"/>
      <w:u w:val="none"/>
    </w:rPr>
  </w:style>
  <w:style w:type="character" w:customStyle="1" w:styleId="17">
    <w:name w:val="font21"/>
    <w:basedOn w:val="7"/>
    <w:qFormat/>
    <w:uiPriority w:val="0"/>
    <w:rPr>
      <w:rFonts w:hint="eastAsia" w:ascii="宋体" w:hAnsi="宋体" w:eastAsia="宋体" w:cs="宋体"/>
      <w:color w:val="000000"/>
      <w:sz w:val="20"/>
      <w:szCs w:val="20"/>
      <w:u w:val="none"/>
    </w:rPr>
  </w:style>
  <w:style w:type="character" w:customStyle="1" w:styleId="18">
    <w:name w:val="font71"/>
    <w:basedOn w:val="7"/>
    <w:qFormat/>
    <w:uiPriority w:val="0"/>
    <w:rPr>
      <w:rFonts w:hint="eastAsia" w:ascii="宋体" w:hAnsi="宋体" w:eastAsia="宋体" w:cs="宋体"/>
      <w:color w:val="000000"/>
      <w:sz w:val="20"/>
      <w:szCs w:val="20"/>
      <w:u w:val="none"/>
    </w:rPr>
  </w:style>
  <w:style w:type="character" w:customStyle="1" w:styleId="19">
    <w:name w:val="font31"/>
    <w:basedOn w:val="7"/>
    <w:qFormat/>
    <w:uiPriority w:val="0"/>
    <w:rPr>
      <w:rFonts w:hint="default" w:ascii="Times New Roman" w:hAnsi="Times New Roman" w:cs="Times New Roman"/>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2694</Words>
  <Characters>2707</Characters>
  <Lines>13</Lines>
  <Paragraphs>3</Paragraphs>
  <TotalTime>0</TotalTime>
  <ScaleCrop>false</ScaleCrop>
  <LinksUpToDate>false</LinksUpToDate>
  <CharactersWithSpaces>2792</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2020-07-17T01:32:00Z</dcterms:created>
  <dc:creator>HP-User</dc:creator>
  <cp:lastModifiedBy>lenovo</cp:lastModifiedBy>
  <cp:lastPrinted>2020-09-11T03:27:00Z</cp:lastPrinted>
  <dcterms:modified xsi:type="dcterms:W3CDTF">2022-07-12T01:02:36Z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F25EA973C7C546239E5C6CF4C15F8D54</vt:lpwstr>
  </property>
</Properties>
</file>